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9339" w14:textId="58BD8203" w:rsidR="00575BD1" w:rsidRDefault="00355F47" w:rsidP="00995341">
      <w:pPr>
        <w:pStyle w:val="Title"/>
      </w:pPr>
      <w:r w:rsidRPr="00B63AA5">
        <w:t xml:space="preserve">Research Project – </w:t>
      </w:r>
      <w:r w:rsidR="00107E33">
        <w:t>Using AI for Analysis</w:t>
      </w:r>
    </w:p>
    <w:p w14:paraId="786FAE83" w14:textId="601CE618" w:rsidR="004E54E8" w:rsidRDefault="004E54E8" w:rsidP="004E54E8">
      <w:bookmarkStart w:id="0" w:name="_Hlk194829475"/>
      <w:r>
        <w:t xml:space="preserve">The National Supply and Demand Study collects data annually on agriculture teachers and agricultural education programs.   The data set is available online from 2014 to present.  In this exercise you will practice extracting data from a database, manipulating the data to enhance your understanding of the data, and displaying the data for presentation.  </w:t>
      </w:r>
    </w:p>
    <w:bookmarkEnd w:id="0"/>
    <w:p w14:paraId="6A28535C" w14:textId="23CE69FF" w:rsidR="00575BD1" w:rsidRPr="00B63AA5" w:rsidRDefault="00626BFB" w:rsidP="00355F47">
      <w:pPr>
        <w:pStyle w:val="Heading1"/>
      </w:pPr>
      <w:r>
        <w:t>Research Questions</w:t>
      </w:r>
      <w:r w:rsidR="00575BD1" w:rsidRPr="00B63AA5">
        <w:t>:</w:t>
      </w:r>
    </w:p>
    <w:p w14:paraId="05809FEE" w14:textId="4C7741F6" w:rsidR="00355F47" w:rsidRDefault="00783320" w:rsidP="00783320">
      <w:pPr>
        <w:pStyle w:val="NoSpacing"/>
      </w:pPr>
      <w:r>
        <w:t xml:space="preserve">What is the trend in teachers and programs?   </w:t>
      </w:r>
    </w:p>
    <w:p w14:paraId="700FF0E2" w14:textId="167A719D" w:rsidR="00783320" w:rsidRDefault="00783320" w:rsidP="00783320">
      <w:pPr>
        <w:pStyle w:val="NoSpacing"/>
      </w:pPr>
      <w:r>
        <w:t xml:space="preserve">Are there differences between states? </w:t>
      </w:r>
    </w:p>
    <w:p w14:paraId="1FC5552B" w14:textId="37B5FEBA" w:rsidR="00783320" w:rsidRDefault="00783320" w:rsidP="00783320">
      <w:pPr>
        <w:pStyle w:val="NoSpacing"/>
      </w:pPr>
      <w:r>
        <w:t>What effect do the trends have on the demand for teachers?</w:t>
      </w:r>
    </w:p>
    <w:p w14:paraId="3477C71D" w14:textId="77777777" w:rsidR="00783320" w:rsidRPr="00B63AA5" w:rsidRDefault="00783320" w:rsidP="00783320">
      <w:pPr>
        <w:pStyle w:val="NoSpacing"/>
      </w:pPr>
    </w:p>
    <w:p w14:paraId="51F0AA43" w14:textId="05E5F6ED" w:rsidR="00355F47" w:rsidRDefault="00355F47" w:rsidP="00355F47">
      <w:pPr>
        <w:pStyle w:val="Heading1"/>
      </w:pPr>
      <w:r w:rsidRPr="00B63AA5">
        <w:t>Data</w:t>
      </w:r>
      <w:r w:rsidR="003C2299">
        <w:t xml:space="preserve"> and Analysis</w:t>
      </w:r>
      <w:r w:rsidRPr="00B63AA5">
        <w:t xml:space="preserve">: </w:t>
      </w:r>
    </w:p>
    <w:p w14:paraId="64018A4F" w14:textId="77777777" w:rsidR="00601015" w:rsidRPr="00DB462F" w:rsidRDefault="00601015" w:rsidP="00601015">
      <w:r>
        <w:t xml:space="preserve">Artificial Intelligence models such as ChatGPT and Gemini can be useful for data analysis.   This activity explores AI analysis in the context of SBAE Teachers and Programs.  </w:t>
      </w:r>
    </w:p>
    <w:p w14:paraId="612BAA5E" w14:textId="623B5F1B" w:rsidR="00355F47" w:rsidRDefault="00EF393A" w:rsidP="00B30574">
      <w:pPr>
        <w:pStyle w:val="Directions"/>
      </w:pPr>
      <w:r>
        <w:t xml:space="preserve">Select the Query </w:t>
      </w:r>
      <w:r w:rsidR="00107E33">
        <w:t>Interpolated Teachers and Programs</w:t>
      </w:r>
      <w:r>
        <w:t>.  Select all states and</w:t>
      </w:r>
      <w:r w:rsidR="00107E33">
        <w:t xml:space="preserve"> the most recent 5 year</w:t>
      </w:r>
      <w:r>
        <w:t>s.  Output to a CSV file.</w:t>
      </w:r>
    </w:p>
    <w:p w14:paraId="7E6AEF1A" w14:textId="238053A2" w:rsidR="00107E33" w:rsidRDefault="00DC0781" w:rsidP="00DC0781">
      <w:pPr>
        <w:pStyle w:val="Directions"/>
      </w:pPr>
      <w:r>
        <w:t>Review the raw data</w:t>
      </w:r>
      <w:r w:rsidR="00107E33">
        <w:t xml:space="preserve"> in Excel</w:t>
      </w:r>
      <w:r>
        <w:t xml:space="preserve">.  </w:t>
      </w:r>
    </w:p>
    <w:p w14:paraId="13D5F789" w14:textId="70438AF5" w:rsidR="00107E33" w:rsidRDefault="00107E33" w:rsidP="00DC0781">
      <w:pPr>
        <w:pStyle w:val="Directions"/>
      </w:pPr>
      <w:r>
        <w:t>Using ChatGPT</w:t>
      </w:r>
      <w:r w:rsidR="004F263A">
        <w:t xml:space="preserve">, Gemini or </w:t>
      </w:r>
      <w:r>
        <w:t xml:space="preserve">similar AI tool attach the data file and use the prompt: </w:t>
      </w:r>
      <w:r>
        <w:br/>
      </w:r>
      <w:r w:rsidR="00497633">
        <w:t>“</w:t>
      </w:r>
      <w:r w:rsidRPr="00107E33">
        <w:t xml:space="preserve">Using the attached data what is the national trend of </w:t>
      </w:r>
      <w:proofErr w:type="spellStart"/>
      <w:r>
        <w:t>I_</w:t>
      </w:r>
      <w:r w:rsidRPr="00107E33">
        <w:t>total_teachers</w:t>
      </w:r>
      <w:proofErr w:type="spellEnd"/>
      <w:r w:rsidRPr="00107E33">
        <w:t xml:space="preserve">? What states show the most growth and what states show the least growth? How many teachers can be predicted for </w:t>
      </w:r>
      <w:r>
        <w:t>the next three years</w:t>
      </w:r>
      <w:r w:rsidRPr="00107E33">
        <w:t>?</w:t>
      </w:r>
      <w:r>
        <w:t>”</w:t>
      </w:r>
    </w:p>
    <w:p w14:paraId="38D555A0" w14:textId="0EFCA6C1" w:rsidR="00DC0781" w:rsidRDefault="00107E33" w:rsidP="00DC0781">
      <w:pPr>
        <w:pStyle w:val="Directions"/>
      </w:pPr>
      <w:r>
        <w:t xml:space="preserve">Evaluate the results.   Are they clear and reasonable?  </w:t>
      </w:r>
    </w:p>
    <w:p w14:paraId="4DC554A3" w14:textId="3EB81CA0" w:rsidR="00107E33" w:rsidRDefault="00107E33" w:rsidP="00DC0781">
      <w:pPr>
        <w:pStyle w:val="Directions"/>
      </w:pPr>
      <w:r>
        <w:t xml:space="preserve">Using the same data set </w:t>
      </w:r>
      <w:proofErr w:type="gramStart"/>
      <w:r>
        <w:t>develop</w:t>
      </w:r>
      <w:proofErr w:type="gramEnd"/>
      <w:r>
        <w:t xml:space="preserve"> your own prompt to explore the </w:t>
      </w:r>
      <w:r w:rsidR="004F263A">
        <w:t xml:space="preserve">trend in teachers per program.  </w:t>
      </w:r>
    </w:p>
    <w:p w14:paraId="7F6BE966" w14:textId="78ECB07A" w:rsidR="004F263A" w:rsidRDefault="004F263A" w:rsidP="00DC0781">
      <w:pPr>
        <w:pStyle w:val="Directions"/>
      </w:pPr>
      <w:r>
        <w:t>Are the results what you expected?   Do you need to refine the prompt?</w:t>
      </w:r>
    </w:p>
    <w:p w14:paraId="36BB72AB" w14:textId="1A77BD58" w:rsidR="004F263A" w:rsidRDefault="004F263A" w:rsidP="00DC0781">
      <w:pPr>
        <w:pStyle w:val="Directions"/>
      </w:pPr>
      <w:r>
        <w:t xml:space="preserve">Ask the AI </w:t>
      </w:r>
      <w:proofErr w:type="gramStart"/>
      <w:r>
        <w:t>evaluate</w:t>
      </w:r>
      <w:proofErr w:type="gramEnd"/>
      <w:r>
        <w:t xml:space="preserve"> the effect of the trend in teachers and programs on the demand for teachers.  Evaluate the results.</w:t>
      </w:r>
    </w:p>
    <w:p w14:paraId="053839B0" w14:textId="77777777" w:rsidR="000059A9" w:rsidRDefault="000059A9" w:rsidP="00DC0781">
      <w:pPr>
        <w:pStyle w:val="Directions"/>
      </w:pPr>
      <w:r>
        <w:t>Develop a prompt to explore FFA regional differences. Evaluate the results.</w:t>
      </w:r>
    </w:p>
    <w:p w14:paraId="192FB8CE" w14:textId="2A7FD5C2" w:rsidR="000059A9" w:rsidRDefault="000059A9" w:rsidP="00DC0781">
      <w:pPr>
        <w:pStyle w:val="Directions"/>
      </w:pPr>
      <w:r>
        <w:t xml:space="preserve">Use the prompt: </w:t>
      </w:r>
      <w:r w:rsidRPr="000059A9">
        <w:t>Using the attached data for secondary agricultural programs compare growth and trends to national growth and trend</w:t>
      </w:r>
      <w:r>
        <w:t>s</w:t>
      </w:r>
      <w:r w:rsidRPr="000059A9">
        <w:t xml:space="preserve"> in secondary CTE programs.</w:t>
      </w:r>
    </w:p>
    <w:p w14:paraId="17F0C604" w14:textId="69422892" w:rsidR="000059A9" w:rsidRDefault="000059A9" w:rsidP="00DC0781">
      <w:pPr>
        <w:pStyle w:val="Directions"/>
      </w:pPr>
      <w:r>
        <w:t xml:space="preserve">Evaluate the output.  Is this useful for research?  </w:t>
      </w:r>
    </w:p>
    <w:p w14:paraId="41884068" w14:textId="2C8E68E7" w:rsidR="00355F47" w:rsidRDefault="00DB462F" w:rsidP="00F14E56">
      <w:pPr>
        <w:pStyle w:val="Heading2"/>
      </w:pPr>
      <w:r>
        <w:t>Discussion:</w:t>
      </w:r>
    </w:p>
    <w:p w14:paraId="70535385" w14:textId="12F6C03E" w:rsidR="00783320" w:rsidRDefault="00783320" w:rsidP="00DB462F">
      <w:pPr>
        <w:pStyle w:val="Directions"/>
        <w:numPr>
          <w:ilvl w:val="0"/>
          <w:numId w:val="32"/>
        </w:numPr>
      </w:pPr>
      <w:r>
        <w:t>How well did the AI perform the analysis?</w:t>
      </w:r>
      <w:r w:rsidR="000059A9">
        <w:t xml:space="preserve">  </w:t>
      </w:r>
    </w:p>
    <w:p w14:paraId="613FD157" w14:textId="73C1E3F6" w:rsidR="004F263A" w:rsidRDefault="004F263A" w:rsidP="00DB462F">
      <w:pPr>
        <w:pStyle w:val="Directions"/>
        <w:numPr>
          <w:ilvl w:val="0"/>
          <w:numId w:val="32"/>
        </w:numPr>
      </w:pPr>
      <w:r>
        <w:t>Compare your results with other students.   How do different prompts affect the output?</w:t>
      </w:r>
    </w:p>
    <w:p w14:paraId="451D98A7" w14:textId="72225A06" w:rsidR="004F263A" w:rsidRDefault="00783320" w:rsidP="00DB462F">
      <w:pPr>
        <w:pStyle w:val="Directions"/>
        <w:numPr>
          <w:ilvl w:val="0"/>
          <w:numId w:val="32"/>
        </w:numPr>
      </w:pPr>
      <w:r>
        <w:t xml:space="preserve">Review the raw data. </w:t>
      </w:r>
    </w:p>
    <w:p w14:paraId="746D1E16" w14:textId="5FFA4E55" w:rsidR="004F263A" w:rsidRDefault="004F263A" w:rsidP="00DB462F">
      <w:pPr>
        <w:pStyle w:val="Directions"/>
        <w:numPr>
          <w:ilvl w:val="0"/>
          <w:numId w:val="32"/>
        </w:numPr>
      </w:pPr>
      <w:r>
        <w:t>Do you agree with the analysis?</w:t>
      </w:r>
    </w:p>
    <w:p w14:paraId="6C745F73" w14:textId="7EA7979B" w:rsidR="004F263A" w:rsidRDefault="004F263A">
      <w:pPr>
        <w:spacing w:after="0" w:line="240" w:lineRule="auto"/>
      </w:pPr>
      <w:r>
        <w:br w:type="page"/>
      </w:r>
    </w:p>
    <w:p w14:paraId="7E700FD0" w14:textId="0D768D0E" w:rsidR="008E30F4" w:rsidRDefault="00B67CED" w:rsidP="00B67CED">
      <w:pPr>
        <w:pStyle w:val="Heading2"/>
      </w:pPr>
      <w:r>
        <w:lastRenderedPageBreak/>
        <w:t xml:space="preserve">Sample </w:t>
      </w:r>
      <w:r w:rsidR="004F263A">
        <w:t>Gemini Results</w:t>
      </w:r>
    </w:p>
    <w:p w14:paraId="4455E66E" w14:textId="40E57920" w:rsidR="004F263A" w:rsidRPr="004F263A" w:rsidRDefault="004F263A" w:rsidP="004F263A">
      <w:pPr>
        <w:pStyle w:val="Heading3"/>
      </w:pPr>
      <w:r>
        <w:t>Prompt</w:t>
      </w:r>
      <w:proofErr w:type="gramStart"/>
      <w:r>
        <w:t>:</w:t>
      </w:r>
      <w:r w:rsidRPr="004F263A">
        <w:t xml:space="preserve"> </w:t>
      </w:r>
      <w:r>
        <w:t xml:space="preserve"> </w:t>
      </w:r>
      <w:r w:rsidRPr="004F263A">
        <w:t>Using</w:t>
      </w:r>
      <w:proofErr w:type="gramEnd"/>
      <w:r w:rsidRPr="004F263A">
        <w:t xml:space="preserve"> the attached data what is the national</w:t>
      </w:r>
      <w:r>
        <w:t xml:space="preserve"> </w:t>
      </w:r>
      <w:r w:rsidRPr="004F263A">
        <w:t xml:space="preserve">trend of </w:t>
      </w:r>
      <w:proofErr w:type="spellStart"/>
      <w:r w:rsidRPr="004F263A">
        <w:t>I_total_teachers</w:t>
      </w:r>
      <w:proofErr w:type="spellEnd"/>
      <w:r w:rsidRPr="004F263A">
        <w:t>? What states show the most growth and what states</w:t>
      </w:r>
      <w:r>
        <w:t xml:space="preserve"> </w:t>
      </w:r>
      <w:r w:rsidRPr="004F263A">
        <w:t>show the least growth? How many teachers can be predicted for the next three</w:t>
      </w:r>
      <w:r>
        <w:t xml:space="preserve"> </w:t>
      </w:r>
      <w:r w:rsidRPr="004F263A">
        <w:t>years?</w:t>
      </w:r>
    </w:p>
    <w:p w14:paraId="5914D4F7" w14:textId="0219D2C2" w:rsidR="004F263A" w:rsidRDefault="004F263A" w:rsidP="004F263A">
      <w:pPr>
        <w:pStyle w:val="Heading3"/>
      </w:pPr>
      <w:r>
        <w:t>Output:</w:t>
      </w:r>
    </w:p>
    <w:p w14:paraId="44CC413C" w14:textId="3DE56C3E" w:rsidR="004F263A" w:rsidRPr="004F263A" w:rsidRDefault="004F263A" w:rsidP="004F263A">
      <w:r w:rsidRPr="004F263A">
        <w:drawing>
          <wp:inline distT="0" distB="0" distL="0" distR="0" wp14:anchorId="4A06BB5A" wp14:editId="005ECAFD">
            <wp:extent cx="4876800" cy="2924175"/>
            <wp:effectExtent l="0" t="0" r="0" b="9525"/>
            <wp:docPr id="188151265" name="Picture 2" descr="A graph with a line and a dott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1265" name="Picture 2" descr="A graph with a line and a dotted lin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2924175"/>
                    </a:xfrm>
                    <a:prstGeom prst="rect">
                      <a:avLst/>
                    </a:prstGeom>
                    <a:noFill/>
                    <a:ln>
                      <a:noFill/>
                    </a:ln>
                  </pic:spPr>
                </pic:pic>
              </a:graphicData>
            </a:graphic>
          </wp:inline>
        </w:drawing>
      </w:r>
    </w:p>
    <w:p w14:paraId="6AEF73CF" w14:textId="77777777" w:rsidR="004F263A" w:rsidRPr="004F263A" w:rsidRDefault="004F263A" w:rsidP="004F263A">
      <w:r w:rsidRPr="004F263A">
        <w:t xml:space="preserve">The national trend for </w:t>
      </w:r>
      <w:proofErr w:type="spellStart"/>
      <w:r w:rsidRPr="004F263A">
        <w:rPr>
          <w:b/>
          <w:bCs/>
        </w:rPr>
        <w:t>I_Total_Teachers</w:t>
      </w:r>
      <w:proofErr w:type="spellEnd"/>
      <w:r w:rsidRPr="004F263A">
        <w:t xml:space="preserve"> shows a consistent increase from </w:t>
      </w:r>
      <w:r w:rsidRPr="004F263A">
        <w:rPr>
          <w:b/>
          <w:bCs/>
        </w:rPr>
        <w:t>2020</w:t>
      </w:r>
      <w:r w:rsidRPr="004F263A">
        <w:t xml:space="preserve"> to </w:t>
      </w:r>
      <w:r w:rsidRPr="004F263A">
        <w:rPr>
          <w:b/>
          <w:bCs/>
        </w:rPr>
        <w:t>2024</w:t>
      </w:r>
      <w:r w:rsidRPr="004F263A">
        <w:t>.</w:t>
      </w:r>
    </w:p>
    <w:p w14:paraId="7F3AC44E" w14:textId="77777777" w:rsidR="004F263A" w:rsidRPr="004F263A" w:rsidRDefault="004F263A" w:rsidP="004F263A">
      <w:pPr>
        <w:rPr>
          <w:b/>
          <w:bCs/>
        </w:rPr>
      </w:pPr>
      <w:r w:rsidRPr="004F263A">
        <w:rPr>
          <w:b/>
          <w:bCs/>
        </w:rPr>
        <w:t>National Teacher Trend</w:t>
      </w:r>
    </w:p>
    <w:p w14:paraId="0C89EB23" w14:textId="77777777" w:rsidR="004F263A" w:rsidRPr="004F263A" w:rsidRDefault="004F263A" w:rsidP="004F263A">
      <w:r w:rsidRPr="004F263A">
        <w:t>The total number of teachers across all states and territories has steadily grown over the four-year period:</w:t>
      </w:r>
    </w:p>
    <w:tbl>
      <w:tblPr>
        <w:tblStyle w:val="TableGrid"/>
        <w:tblW w:w="0" w:type="auto"/>
        <w:tblLook w:val="04A0" w:firstRow="1" w:lastRow="0" w:firstColumn="1" w:lastColumn="0" w:noHBand="0" w:noVBand="1"/>
      </w:tblPr>
      <w:tblGrid>
        <w:gridCol w:w="663"/>
        <w:gridCol w:w="1607"/>
      </w:tblGrid>
      <w:tr w:rsidR="004F263A" w:rsidRPr="004F263A" w14:paraId="35AA7E08" w14:textId="77777777" w:rsidTr="00B67CED">
        <w:tc>
          <w:tcPr>
            <w:tcW w:w="0" w:type="auto"/>
            <w:hideMark/>
          </w:tcPr>
          <w:p w14:paraId="220E4880" w14:textId="77777777" w:rsidR="004F263A" w:rsidRPr="004F263A" w:rsidRDefault="004F263A" w:rsidP="004F263A">
            <w:r w:rsidRPr="004F263A">
              <w:rPr>
                <w:b/>
                <w:bCs/>
              </w:rPr>
              <w:t>Year</w:t>
            </w:r>
          </w:p>
        </w:tc>
        <w:tc>
          <w:tcPr>
            <w:tcW w:w="0" w:type="auto"/>
            <w:hideMark/>
          </w:tcPr>
          <w:p w14:paraId="1900257A" w14:textId="77777777" w:rsidR="004F263A" w:rsidRPr="004F263A" w:rsidRDefault="004F263A" w:rsidP="004F263A">
            <w:proofErr w:type="spellStart"/>
            <w:r w:rsidRPr="004F263A">
              <w:rPr>
                <w:b/>
                <w:bCs/>
              </w:rPr>
              <w:t>Total_Teachers</w:t>
            </w:r>
            <w:proofErr w:type="spellEnd"/>
          </w:p>
        </w:tc>
      </w:tr>
      <w:tr w:rsidR="004F263A" w:rsidRPr="004F263A" w14:paraId="3A34CA39" w14:textId="77777777" w:rsidTr="00B67CED">
        <w:tc>
          <w:tcPr>
            <w:tcW w:w="0" w:type="auto"/>
            <w:hideMark/>
          </w:tcPr>
          <w:p w14:paraId="68B1C209" w14:textId="77777777" w:rsidR="004F263A" w:rsidRPr="004F263A" w:rsidRDefault="004F263A" w:rsidP="004F263A">
            <w:r w:rsidRPr="004F263A">
              <w:t>2020</w:t>
            </w:r>
          </w:p>
        </w:tc>
        <w:tc>
          <w:tcPr>
            <w:tcW w:w="0" w:type="auto"/>
            <w:hideMark/>
          </w:tcPr>
          <w:p w14:paraId="066DB7E7" w14:textId="77777777" w:rsidR="004F263A" w:rsidRPr="004F263A" w:rsidRDefault="004F263A" w:rsidP="004F263A">
            <w:r w:rsidRPr="004F263A">
              <w:t>14116.5</w:t>
            </w:r>
          </w:p>
        </w:tc>
      </w:tr>
      <w:tr w:rsidR="004F263A" w:rsidRPr="004F263A" w14:paraId="0C7E0BB2" w14:textId="77777777" w:rsidTr="00B67CED">
        <w:tc>
          <w:tcPr>
            <w:tcW w:w="0" w:type="auto"/>
            <w:hideMark/>
          </w:tcPr>
          <w:p w14:paraId="163EB41E" w14:textId="77777777" w:rsidR="004F263A" w:rsidRPr="004F263A" w:rsidRDefault="004F263A" w:rsidP="004F263A">
            <w:r w:rsidRPr="004F263A">
              <w:t>2021</w:t>
            </w:r>
          </w:p>
        </w:tc>
        <w:tc>
          <w:tcPr>
            <w:tcW w:w="0" w:type="auto"/>
            <w:hideMark/>
          </w:tcPr>
          <w:p w14:paraId="7E909A58" w14:textId="77777777" w:rsidR="004F263A" w:rsidRPr="004F263A" w:rsidRDefault="004F263A" w:rsidP="004F263A">
            <w:r w:rsidRPr="004F263A">
              <w:t>14438.0</w:t>
            </w:r>
          </w:p>
        </w:tc>
      </w:tr>
      <w:tr w:rsidR="004F263A" w:rsidRPr="004F263A" w14:paraId="6A72B385" w14:textId="77777777" w:rsidTr="00B67CED">
        <w:tc>
          <w:tcPr>
            <w:tcW w:w="0" w:type="auto"/>
            <w:hideMark/>
          </w:tcPr>
          <w:p w14:paraId="5A936A87" w14:textId="77777777" w:rsidR="004F263A" w:rsidRPr="004F263A" w:rsidRDefault="004F263A" w:rsidP="004F263A">
            <w:r w:rsidRPr="004F263A">
              <w:t>2022</w:t>
            </w:r>
          </w:p>
        </w:tc>
        <w:tc>
          <w:tcPr>
            <w:tcW w:w="0" w:type="auto"/>
            <w:hideMark/>
          </w:tcPr>
          <w:p w14:paraId="646AA617" w14:textId="77777777" w:rsidR="004F263A" w:rsidRPr="004F263A" w:rsidRDefault="004F263A" w:rsidP="004F263A">
            <w:r w:rsidRPr="004F263A">
              <w:t>14878.0</w:t>
            </w:r>
          </w:p>
        </w:tc>
      </w:tr>
      <w:tr w:rsidR="004F263A" w:rsidRPr="004F263A" w14:paraId="3CD9331D" w14:textId="77777777" w:rsidTr="00B67CED">
        <w:tc>
          <w:tcPr>
            <w:tcW w:w="0" w:type="auto"/>
            <w:hideMark/>
          </w:tcPr>
          <w:p w14:paraId="4D5DD620" w14:textId="77777777" w:rsidR="004F263A" w:rsidRPr="004F263A" w:rsidRDefault="004F263A" w:rsidP="004F263A">
            <w:r w:rsidRPr="004F263A">
              <w:t>2023</w:t>
            </w:r>
          </w:p>
        </w:tc>
        <w:tc>
          <w:tcPr>
            <w:tcW w:w="0" w:type="auto"/>
            <w:hideMark/>
          </w:tcPr>
          <w:p w14:paraId="23EC572E" w14:textId="77777777" w:rsidR="004F263A" w:rsidRPr="004F263A" w:rsidRDefault="004F263A" w:rsidP="004F263A">
            <w:r w:rsidRPr="004F263A">
              <w:t>15219.0</w:t>
            </w:r>
          </w:p>
        </w:tc>
      </w:tr>
      <w:tr w:rsidR="004F263A" w:rsidRPr="004F263A" w14:paraId="23AC6B56" w14:textId="77777777" w:rsidTr="00B67CED">
        <w:tc>
          <w:tcPr>
            <w:tcW w:w="0" w:type="auto"/>
            <w:hideMark/>
          </w:tcPr>
          <w:p w14:paraId="738AAA3C" w14:textId="77777777" w:rsidR="004F263A" w:rsidRPr="004F263A" w:rsidRDefault="004F263A" w:rsidP="004F263A">
            <w:r w:rsidRPr="004F263A">
              <w:t>2024</w:t>
            </w:r>
          </w:p>
        </w:tc>
        <w:tc>
          <w:tcPr>
            <w:tcW w:w="0" w:type="auto"/>
            <w:hideMark/>
          </w:tcPr>
          <w:p w14:paraId="29B1C3AC" w14:textId="77777777" w:rsidR="004F263A" w:rsidRPr="004F263A" w:rsidRDefault="004F263A" w:rsidP="004F263A">
            <w:r w:rsidRPr="004F263A">
              <w:t>15634.0</w:t>
            </w:r>
          </w:p>
        </w:tc>
      </w:tr>
    </w:tbl>
    <w:p w14:paraId="289E9185" w14:textId="77777777" w:rsidR="004F263A" w:rsidRPr="004F263A" w:rsidRDefault="004F263A" w:rsidP="004F263A">
      <w:r w:rsidRPr="004F263A">
        <w:pict w14:anchorId="7F4E54F7">
          <v:rect id="_x0000_i1043" style="width:0;height:1.5pt" o:hralign="center" o:hrstd="t" o:hrnoshade="t" o:hr="t" fillcolor="gray" stroked="f"/>
        </w:pict>
      </w:r>
    </w:p>
    <w:p w14:paraId="66415589" w14:textId="77777777" w:rsidR="004F263A" w:rsidRPr="004F263A" w:rsidRDefault="004F263A" w:rsidP="004F263A">
      <w:pPr>
        <w:rPr>
          <w:b/>
          <w:bCs/>
        </w:rPr>
      </w:pPr>
      <w:r w:rsidRPr="004F263A">
        <w:rPr>
          <w:b/>
          <w:bCs/>
        </w:rPr>
        <w:t>States with Most and Least Teacher Growth (2020 to 2024)</w:t>
      </w:r>
    </w:p>
    <w:p w14:paraId="737B47C7" w14:textId="77777777" w:rsidR="004F263A" w:rsidRPr="004F263A" w:rsidRDefault="004F263A" w:rsidP="004F263A">
      <w:r w:rsidRPr="004F263A">
        <w:lastRenderedPageBreak/>
        <w:t xml:space="preserve">Growth is calculated as the change in the number of teachers from </w:t>
      </w:r>
      <w:r w:rsidRPr="004F263A">
        <w:rPr>
          <w:b/>
          <w:bCs/>
        </w:rPr>
        <w:t>2020</w:t>
      </w:r>
      <w:r w:rsidRPr="004F263A">
        <w:t xml:space="preserve"> to </w:t>
      </w:r>
      <w:r w:rsidRPr="004F263A">
        <w:rPr>
          <w:b/>
          <w:bCs/>
        </w:rPr>
        <w:t>2024</w:t>
      </w:r>
      <w:r w:rsidRPr="004F263A">
        <w:t>.</w:t>
      </w:r>
    </w:p>
    <w:p w14:paraId="5B7D836B" w14:textId="77777777" w:rsidR="004F263A" w:rsidRPr="004F263A" w:rsidRDefault="004F263A" w:rsidP="004F263A">
      <w:pPr>
        <w:rPr>
          <w:b/>
          <w:bCs/>
        </w:rPr>
      </w:pPr>
      <w:r w:rsidRPr="004F263A">
        <w:rPr>
          <w:b/>
          <w:bCs/>
        </w:rPr>
        <w:t>States with the Most Growth</w:t>
      </w:r>
    </w:p>
    <w:p w14:paraId="79278FE3" w14:textId="77777777" w:rsidR="004F263A" w:rsidRPr="004F263A" w:rsidRDefault="004F263A" w:rsidP="004F263A">
      <w:r w:rsidRPr="004F263A">
        <w:t>The states showing the greatest increase in the number of teachers are:</w:t>
      </w:r>
    </w:p>
    <w:tbl>
      <w:tblPr>
        <w:tblStyle w:val="TableGrid"/>
        <w:tblW w:w="0" w:type="auto"/>
        <w:tblLook w:val="04A0" w:firstRow="1" w:lastRow="0" w:firstColumn="1" w:lastColumn="0" w:noHBand="0" w:noVBand="1"/>
      </w:tblPr>
      <w:tblGrid>
        <w:gridCol w:w="1294"/>
        <w:gridCol w:w="1748"/>
      </w:tblGrid>
      <w:tr w:rsidR="004F263A" w:rsidRPr="004F263A" w14:paraId="344D47FE" w14:textId="77777777" w:rsidTr="00B67CED">
        <w:tc>
          <w:tcPr>
            <w:tcW w:w="0" w:type="auto"/>
            <w:hideMark/>
          </w:tcPr>
          <w:p w14:paraId="7DC7E681" w14:textId="77777777" w:rsidR="004F263A" w:rsidRPr="004F263A" w:rsidRDefault="004F263A" w:rsidP="004F263A">
            <w:r w:rsidRPr="004F263A">
              <w:rPr>
                <w:b/>
                <w:bCs/>
              </w:rPr>
              <w:t>State</w:t>
            </w:r>
          </w:p>
        </w:tc>
        <w:tc>
          <w:tcPr>
            <w:tcW w:w="0" w:type="auto"/>
            <w:hideMark/>
          </w:tcPr>
          <w:p w14:paraId="78E2EA8E" w14:textId="77777777" w:rsidR="004F263A" w:rsidRPr="004F263A" w:rsidRDefault="004F263A" w:rsidP="004F263A">
            <w:proofErr w:type="spellStart"/>
            <w:r w:rsidRPr="004F263A">
              <w:rPr>
                <w:b/>
                <w:bCs/>
              </w:rPr>
              <w:t>Teacher_Growth</w:t>
            </w:r>
            <w:proofErr w:type="spellEnd"/>
          </w:p>
        </w:tc>
      </w:tr>
      <w:tr w:rsidR="004F263A" w:rsidRPr="004F263A" w14:paraId="25F26192" w14:textId="77777777" w:rsidTr="00B67CED">
        <w:tc>
          <w:tcPr>
            <w:tcW w:w="0" w:type="auto"/>
            <w:hideMark/>
          </w:tcPr>
          <w:p w14:paraId="13CF9F3D" w14:textId="77777777" w:rsidR="004F263A" w:rsidRPr="004F263A" w:rsidRDefault="004F263A" w:rsidP="004F263A">
            <w:r w:rsidRPr="004F263A">
              <w:t>Ohio</w:t>
            </w:r>
          </w:p>
        </w:tc>
        <w:tc>
          <w:tcPr>
            <w:tcW w:w="0" w:type="auto"/>
            <w:hideMark/>
          </w:tcPr>
          <w:p w14:paraId="1F1C90F9" w14:textId="77777777" w:rsidR="004F263A" w:rsidRPr="004F263A" w:rsidRDefault="004F263A" w:rsidP="004F263A">
            <w:r w:rsidRPr="004F263A">
              <w:t>145</w:t>
            </w:r>
          </w:p>
        </w:tc>
      </w:tr>
      <w:tr w:rsidR="004F263A" w:rsidRPr="004F263A" w14:paraId="1FB99C2D" w14:textId="77777777" w:rsidTr="00B67CED">
        <w:tc>
          <w:tcPr>
            <w:tcW w:w="0" w:type="auto"/>
            <w:hideMark/>
          </w:tcPr>
          <w:p w14:paraId="5E95F1F5" w14:textId="77777777" w:rsidR="004F263A" w:rsidRPr="004F263A" w:rsidRDefault="004F263A" w:rsidP="004F263A">
            <w:r w:rsidRPr="004F263A">
              <w:t>Washington</w:t>
            </w:r>
          </w:p>
        </w:tc>
        <w:tc>
          <w:tcPr>
            <w:tcW w:w="0" w:type="auto"/>
            <w:hideMark/>
          </w:tcPr>
          <w:p w14:paraId="39702EA1" w14:textId="77777777" w:rsidR="004F263A" w:rsidRPr="004F263A" w:rsidRDefault="004F263A" w:rsidP="004F263A">
            <w:r w:rsidRPr="004F263A">
              <w:t>134</w:t>
            </w:r>
          </w:p>
        </w:tc>
      </w:tr>
      <w:tr w:rsidR="004F263A" w:rsidRPr="004F263A" w14:paraId="549B06B2" w14:textId="77777777" w:rsidTr="00B67CED">
        <w:tc>
          <w:tcPr>
            <w:tcW w:w="0" w:type="auto"/>
            <w:hideMark/>
          </w:tcPr>
          <w:p w14:paraId="2EA91AFA" w14:textId="77777777" w:rsidR="004F263A" w:rsidRPr="004F263A" w:rsidRDefault="004F263A" w:rsidP="004F263A">
            <w:r w:rsidRPr="004F263A">
              <w:t>Illinois</w:t>
            </w:r>
          </w:p>
        </w:tc>
        <w:tc>
          <w:tcPr>
            <w:tcW w:w="0" w:type="auto"/>
            <w:hideMark/>
          </w:tcPr>
          <w:p w14:paraId="287CBE3E" w14:textId="77777777" w:rsidR="004F263A" w:rsidRPr="004F263A" w:rsidRDefault="004F263A" w:rsidP="004F263A">
            <w:r w:rsidRPr="004F263A">
              <w:t>110</w:t>
            </w:r>
          </w:p>
        </w:tc>
      </w:tr>
      <w:tr w:rsidR="004F263A" w:rsidRPr="004F263A" w14:paraId="5B0F96E6" w14:textId="77777777" w:rsidTr="00B67CED">
        <w:tc>
          <w:tcPr>
            <w:tcW w:w="0" w:type="auto"/>
            <w:hideMark/>
          </w:tcPr>
          <w:p w14:paraId="5A5CC104" w14:textId="77777777" w:rsidR="004F263A" w:rsidRPr="004F263A" w:rsidRDefault="004F263A" w:rsidP="004F263A">
            <w:r w:rsidRPr="004F263A">
              <w:t>New York</w:t>
            </w:r>
          </w:p>
        </w:tc>
        <w:tc>
          <w:tcPr>
            <w:tcW w:w="0" w:type="auto"/>
            <w:hideMark/>
          </w:tcPr>
          <w:p w14:paraId="336594F0" w14:textId="77777777" w:rsidR="004F263A" w:rsidRPr="004F263A" w:rsidRDefault="004F263A" w:rsidP="004F263A">
            <w:r w:rsidRPr="004F263A">
              <w:t>87</w:t>
            </w:r>
          </w:p>
        </w:tc>
      </w:tr>
      <w:tr w:rsidR="004F263A" w:rsidRPr="004F263A" w14:paraId="452171CF" w14:textId="77777777" w:rsidTr="00B67CED">
        <w:tc>
          <w:tcPr>
            <w:tcW w:w="0" w:type="auto"/>
            <w:hideMark/>
          </w:tcPr>
          <w:p w14:paraId="001CDBFC" w14:textId="77777777" w:rsidR="004F263A" w:rsidRPr="004F263A" w:rsidRDefault="004F263A" w:rsidP="004F263A">
            <w:r w:rsidRPr="004F263A">
              <w:t>Georgia</w:t>
            </w:r>
          </w:p>
        </w:tc>
        <w:tc>
          <w:tcPr>
            <w:tcW w:w="0" w:type="auto"/>
            <w:hideMark/>
          </w:tcPr>
          <w:p w14:paraId="6E3011A2" w14:textId="77777777" w:rsidR="004F263A" w:rsidRPr="004F263A" w:rsidRDefault="004F263A" w:rsidP="004F263A">
            <w:r w:rsidRPr="004F263A">
              <w:t>72</w:t>
            </w:r>
          </w:p>
        </w:tc>
      </w:tr>
    </w:tbl>
    <w:p w14:paraId="2F17E11A" w14:textId="77777777" w:rsidR="004F263A" w:rsidRPr="004F263A" w:rsidRDefault="004F263A" w:rsidP="004F263A">
      <w:pPr>
        <w:rPr>
          <w:b/>
          <w:bCs/>
        </w:rPr>
      </w:pPr>
      <w:r w:rsidRPr="004F263A">
        <w:rPr>
          <w:b/>
          <w:bCs/>
        </w:rPr>
        <w:t>States with the Least Growth</w:t>
      </w:r>
    </w:p>
    <w:p w14:paraId="42236030" w14:textId="77777777" w:rsidR="004F263A" w:rsidRPr="004F263A" w:rsidRDefault="004F263A" w:rsidP="004F263A">
      <w:r w:rsidRPr="004F263A">
        <w:t>The states showing the smallest or negative growth in the number of teachers are:</w:t>
      </w:r>
    </w:p>
    <w:tbl>
      <w:tblPr>
        <w:tblStyle w:val="TableGrid"/>
        <w:tblW w:w="0" w:type="auto"/>
        <w:tblLook w:val="04A0" w:firstRow="1" w:lastRow="0" w:firstColumn="1" w:lastColumn="0" w:noHBand="0" w:noVBand="1"/>
      </w:tblPr>
      <w:tblGrid>
        <w:gridCol w:w="1647"/>
        <w:gridCol w:w="1748"/>
      </w:tblGrid>
      <w:tr w:rsidR="004F263A" w:rsidRPr="004F263A" w14:paraId="615934FD" w14:textId="77777777" w:rsidTr="00B67CED">
        <w:tc>
          <w:tcPr>
            <w:tcW w:w="0" w:type="auto"/>
            <w:hideMark/>
          </w:tcPr>
          <w:p w14:paraId="622DDEB0" w14:textId="77777777" w:rsidR="004F263A" w:rsidRPr="004F263A" w:rsidRDefault="004F263A" w:rsidP="004F263A">
            <w:r w:rsidRPr="004F263A">
              <w:rPr>
                <w:b/>
                <w:bCs/>
              </w:rPr>
              <w:t>State</w:t>
            </w:r>
          </w:p>
        </w:tc>
        <w:tc>
          <w:tcPr>
            <w:tcW w:w="0" w:type="auto"/>
            <w:hideMark/>
          </w:tcPr>
          <w:p w14:paraId="14C4EA32" w14:textId="77777777" w:rsidR="004F263A" w:rsidRPr="004F263A" w:rsidRDefault="004F263A" w:rsidP="004F263A">
            <w:proofErr w:type="spellStart"/>
            <w:r w:rsidRPr="004F263A">
              <w:rPr>
                <w:b/>
                <w:bCs/>
              </w:rPr>
              <w:t>Teacher_Growth</w:t>
            </w:r>
            <w:proofErr w:type="spellEnd"/>
          </w:p>
        </w:tc>
      </w:tr>
      <w:tr w:rsidR="004F263A" w:rsidRPr="004F263A" w14:paraId="68CD0173" w14:textId="77777777" w:rsidTr="00B67CED">
        <w:tc>
          <w:tcPr>
            <w:tcW w:w="0" w:type="auto"/>
            <w:hideMark/>
          </w:tcPr>
          <w:p w14:paraId="3652A9EC" w14:textId="77777777" w:rsidR="004F263A" w:rsidRPr="004F263A" w:rsidRDefault="004F263A" w:rsidP="004F263A">
            <w:r w:rsidRPr="004F263A">
              <w:t>Hawaii</w:t>
            </w:r>
          </w:p>
        </w:tc>
        <w:tc>
          <w:tcPr>
            <w:tcW w:w="0" w:type="auto"/>
            <w:hideMark/>
          </w:tcPr>
          <w:p w14:paraId="1C4D9EAD" w14:textId="77777777" w:rsidR="004F263A" w:rsidRPr="004F263A" w:rsidRDefault="004F263A" w:rsidP="004F263A">
            <w:r w:rsidRPr="004F263A">
              <w:t>-3.0</w:t>
            </w:r>
          </w:p>
        </w:tc>
      </w:tr>
      <w:tr w:rsidR="004F263A" w:rsidRPr="004F263A" w14:paraId="5327D60A" w14:textId="77777777" w:rsidTr="00B67CED">
        <w:tc>
          <w:tcPr>
            <w:tcW w:w="0" w:type="auto"/>
            <w:hideMark/>
          </w:tcPr>
          <w:p w14:paraId="1BBD983C" w14:textId="77777777" w:rsidR="004F263A" w:rsidRPr="004F263A" w:rsidRDefault="004F263A" w:rsidP="004F263A">
            <w:r w:rsidRPr="004F263A">
              <w:t>New Hampshire</w:t>
            </w:r>
          </w:p>
        </w:tc>
        <w:tc>
          <w:tcPr>
            <w:tcW w:w="0" w:type="auto"/>
            <w:hideMark/>
          </w:tcPr>
          <w:p w14:paraId="5385E826" w14:textId="77777777" w:rsidR="004F263A" w:rsidRPr="004F263A" w:rsidRDefault="004F263A" w:rsidP="004F263A">
            <w:r w:rsidRPr="004F263A">
              <w:t>-3.5</w:t>
            </w:r>
          </w:p>
        </w:tc>
      </w:tr>
      <w:tr w:rsidR="004F263A" w:rsidRPr="004F263A" w14:paraId="29D64C50" w14:textId="77777777" w:rsidTr="00B67CED">
        <w:tc>
          <w:tcPr>
            <w:tcW w:w="0" w:type="auto"/>
            <w:hideMark/>
          </w:tcPr>
          <w:p w14:paraId="3A4B2E7A" w14:textId="77777777" w:rsidR="004F263A" w:rsidRPr="004F263A" w:rsidRDefault="004F263A" w:rsidP="004F263A">
            <w:r w:rsidRPr="004F263A">
              <w:t>Utah</w:t>
            </w:r>
          </w:p>
        </w:tc>
        <w:tc>
          <w:tcPr>
            <w:tcW w:w="0" w:type="auto"/>
            <w:hideMark/>
          </w:tcPr>
          <w:p w14:paraId="7142C6EC" w14:textId="77777777" w:rsidR="004F263A" w:rsidRPr="004F263A" w:rsidRDefault="004F263A" w:rsidP="004F263A">
            <w:r w:rsidRPr="004F263A">
              <w:t>-6.0</w:t>
            </w:r>
          </w:p>
        </w:tc>
      </w:tr>
      <w:tr w:rsidR="004F263A" w:rsidRPr="004F263A" w14:paraId="79FDC84C" w14:textId="77777777" w:rsidTr="00B67CED">
        <w:tc>
          <w:tcPr>
            <w:tcW w:w="0" w:type="auto"/>
            <w:hideMark/>
          </w:tcPr>
          <w:p w14:paraId="1D3A6737" w14:textId="77777777" w:rsidR="004F263A" w:rsidRPr="004F263A" w:rsidRDefault="004F263A" w:rsidP="004F263A">
            <w:r w:rsidRPr="004F263A">
              <w:t>Mississippi</w:t>
            </w:r>
          </w:p>
        </w:tc>
        <w:tc>
          <w:tcPr>
            <w:tcW w:w="0" w:type="auto"/>
            <w:hideMark/>
          </w:tcPr>
          <w:p w14:paraId="64966DC3" w14:textId="77777777" w:rsidR="004F263A" w:rsidRPr="004F263A" w:rsidRDefault="004F263A" w:rsidP="004F263A">
            <w:r w:rsidRPr="004F263A">
              <w:t>-7.0</w:t>
            </w:r>
          </w:p>
        </w:tc>
      </w:tr>
      <w:tr w:rsidR="004F263A" w:rsidRPr="004F263A" w14:paraId="7A8B3374" w14:textId="77777777" w:rsidTr="00B67CED">
        <w:tc>
          <w:tcPr>
            <w:tcW w:w="0" w:type="auto"/>
            <w:hideMark/>
          </w:tcPr>
          <w:p w14:paraId="17FA127C" w14:textId="77777777" w:rsidR="004F263A" w:rsidRPr="004F263A" w:rsidRDefault="004F263A" w:rsidP="004F263A">
            <w:r w:rsidRPr="004F263A">
              <w:t>Maine</w:t>
            </w:r>
          </w:p>
        </w:tc>
        <w:tc>
          <w:tcPr>
            <w:tcW w:w="0" w:type="auto"/>
            <w:hideMark/>
          </w:tcPr>
          <w:p w14:paraId="6FA3D0B9" w14:textId="77777777" w:rsidR="004F263A" w:rsidRPr="004F263A" w:rsidRDefault="004F263A" w:rsidP="004F263A">
            <w:r w:rsidRPr="004F263A">
              <w:t>-60.0</w:t>
            </w:r>
          </w:p>
        </w:tc>
      </w:tr>
    </w:tbl>
    <w:p w14:paraId="4941D8DC" w14:textId="77777777" w:rsidR="004F263A" w:rsidRPr="004F263A" w:rsidRDefault="004F263A" w:rsidP="004F263A">
      <w:r w:rsidRPr="004F263A">
        <w:pict w14:anchorId="7B1E8FCC">
          <v:rect id="_x0000_i1044" style="width:0;height:1.5pt" o:hralign="center" o:hrstd="t" o:hrnoshade="t" o:hr="t" fillcolor="gray" stroked="f"/>
        </w:pict>
      </w:r>
    </w:p>
    <w:p w14:paraId="7E29432A" w14:textId="77777777" w:rsidR="004F263A" w:rsidRPr="004F263A" w:rsidRDefault="004F263A" w:rsidP="004F263A">
      <w:pPr>
        <w:rPr>
          <w:b/>
          <w:bCs/>
        </w:rPr>
      </w:pPr>
      <w:r w:rsidRPr="004F263A">
        <w:rPr>
          <w:b/>
          <w:bCs/>
        </w:rPr>
        <w:t>Predicted Total Teachers</w:t>
      </w:r>
    </w:p>
    <w:p w14:paraId="10029AE5" w14:textId="77777777" w:rsidR="004F263A" w:rsidRPr="004F263A" w:rsidRDefault="004F263A" w:rsidP="004F263A">
      <w:r w:rsidRPr="004F263A">
        <w:t>Based on a linear regression model of the historical data, the predicted total number of teachers for the next three years is:</w:t>
      </w:r>
    </w:p>
    <w:tbl>
      <w:tblPr>
        <w:tblStyle w:val="TableGrid"/>
        <w:tblW w:w="0" w:type="auto"/>
        <w:tblLook w:val="04A0" w:firstRow="1" w:lastRow="0" w:firstColumn="1" w:lastColumn="0" w:noHBand="0" w:noVBand="1"/>
      </w:tblPr>
      <w:tblGrid>
        <w:gridCol w:w="663"/>
        <w:gridCol w:w="1607"/>
      </w:tblGrid>
      <w:tr w:rsidR="004F263A" w:rsidRPr="004F263A" w14:paraId="33D9C735" w14:textId="77777777" w:rsidTr="00B67CED">
        <w:tc>
          <w:tcPr>
            <w:tcW w:w="0" w:type="auto"/>
            <w:hideMark/>
          </w:tcPr>
          <w:p w14:paraId="4EFD07C0" w14:textId="77777777" w:rsidR="004F263A" w:rsidRPr="004F263A" w:rsidRDefault="004F263A" w:rsidP="004F263A">
            <w:r w:rsidRPr="004F263A">
              <w:rPr>
                <w:b/>
                <w:bCs/>
              </w:rPr>
              <w:t>Year</w:t>
            </w:r>
          </w:p>
        </w:tc>
        <w:tc>
          <w:tcPr>
            <w:tcW w:w="0" w:type="auto"/>
            <w:hideMark/>
          </w:tcPr>
          <w:p w14:paraId="5C1F324E" w14:textId="77777777" w:rsidR="004F263A" w:rsidRPr="004F263A" w:rsidRDefault="004F263A" w:rsidP="004F263A">
            <w:proofErr w:type="spellStart"/>
            <w:r w:rsidRPr="004F263A">
              <w:rPr>
                <w:b/>
                <w:bCs/>
              </w:rPr>
              <w:t>Total_Teachers</w:t>
            </w:r>
            <w:proofErr w:type="spellEnd"/>
          </w:p>
        </w:tc>
      </w:tr>
      <w:tr w:rsidR="004F263A" w:rsidRPr="004F263A" w14:paraId="50FF7BFB" w14:textId="77777777" w:rsidTr="00B67CED">
        <w:tc>
          <w:tcPr>
            <w:tcW w:w="0" w:type="auto"/>
            <w:hideMark/>
          </w:tcPr>
          <w:p w14:paraId="44BC132C" w14:textId="77777777" w:rsidR="004F263A" w:rsidRPr="004F263A" w:rsidRDefault="004F263A" w:rsidP="004F263A">
            <w:r w:rsidRPr="004F263A">
              <w:t>2025</w:t>
            </w:r>
          </w:p>
        </w:tc>
        <w:tc>
          <w:tcPr>
            <w:tcW w:w="0" w:type="auto"/>
            <w:hideMark/>
          </w:tcPr>
          <w:p w14:paraId="7E384D6E" w14:textId="77777777" w:rsidR="004F263A" w:rsidRPr="004F263A" w:rsidRDefault="004F263A" w:rsidP="004F263A">
            <w:r w:rsidRPr="004F263A">
              <w:t>16001.9</w:t>
            </w:r>
          </w:p>
        </w:tc>
      </w:tr>
      <w:tr w:rsidR="004F263A" w:rsidRPr="004F263A" w14:paraId="10FEABCE" w14:textId="77777777" w:rsidTr="00B67CED">
        <w:tc>
          <w:tcPr>
            <w:tcW w:w="0" w:type="auto"/>
            <w:hideMark/>
          </w:tcPr>
          <w:p w14:paraId="7444324F" w14:textId="77777777" w:rsidR="004F263A" w:rsidRPr="004F263A" w:rsidRDefault="004F263A" w:rsidP="004F263A">
            <w:r w:rsidRPr="004F263A">
              <w:t>2026</w:t>
            </w:r>
          </w:p>
        </w:tc>
        <w:tc>
          <w:tcPr>
            <w:tcW w:w="0" w:type="auto"/>
            <w:hideMark/>
          </w:tcPr>
          <w:p w14:paraId="774AF0A4" w14:textId="77777777" w:rsidR="004F263A" w:rsidRPr="004F263A" w:rsidRDefault="004F263A" w:rsidP="004F263A">
            <w:r w:rsidRPr="004F263A">
              <w:t>16383.5</w:t>
            </w:r>
          </w:p>
        </w:tc>
      </w:tr>
      <w:tr w:rsidR="004F263A" w:rsidRPr="004F263A" w14:paraId="40D57783" w14:textId="77777777" w:rsidTr="00B67CED">
        <w:tc>
          <w:tcPr>
            <w:tcW w:w="0" w:type="auto"/>
            <w:hideMark/>
          </w:tcPr>
          <w:p w14:paraId="1511CACA" w14:textId="77777777" w:rsidR="004F263A" w:rsidRPr="004F263A" w:rsidRDefault="004F263A" w:rsidP="004F263A">
            <w:r w:rsidRPr="004F263A">
              <w:t>2027</w:t>
            </w:r>
          </w:p>
        </w:tc>
        <w:tc>
          <w:tcPr>
            <w:tcW w:w="0" w:type="auto"/>
            <w:hideMark/>
          </w:tcPr>
          <w:p w14:paraId="669D6FC3" w14:textId="77777777" w:rsidR="004F263A" w:rsidRPr="004F263A" w:rsidRDefault="004F263A" w:rsidP="004F263A">
            <w:r w:rsidRPr="004F263A">
              <w:t>16765.1</w:t>
            </w:r>
          </w:p>
        </w:tc>
      </w:tr>
    </w:tbl>
    <w:p w14:paraId="5856B71A" w14:textId="77777777" w:rsidR="004F263A" w:rsidRPr="004F263A" w:rsidRDefault="004F263A" w:rsidP="004F263A">
      <w:r w:rsidRPr="004F263A">
        <w:lastRenderedPageBreak/>
        <w:t>This prediction shows the overall upward national trend is expected to continue.</w:t>
      </w:r>
    </w:p>
    <w:p w14:paraId="5AB9B2AA" w14:textId="77777777" w:rsidR="000059A9" w:rsidRDefault="000059A9">
      <w:pPr>
        <w:spacing w:after="0" w:line="240" w:lineRule="auto"/>
        <w:rPr>
          <w:rFonts w:ascii="Cambria" w:hAnsi="Cambria"/>
          <w:b/>
          <w:bCs/>
        </w:rPr>
      </w:pPr>
      <w:r>
        <w:br w:type="page"/>
      </w:r>
    </w:p>
    <w:p w14:paraId="115BF046" w14:textId="17EC2E52" w:rsidR="004F263A" w:rsidRDefault="004F263A" w:rsidP="004F263A">
      <w:pPr>
        <w:pStyle w:val="Heading3"/>
      </w:pPr>
      <w:r>
        <w:lastRenderedPageBreak/>
        <w:t xml:space="preserve">Prompt: </w:t>
      </w:r>
      <w:r w:rsidRPr="004F263A">
        <w:t>Using the same data what trend do you see in teachers per program?</w:t>
      </w:r>
    </w:p>
    <w:p w14:paraId="5B2759DD" w14:textId="49A3AFE1" w:rsidR="004F263A" w:rsidRPr="004F263A" w:rsidRDefault="004F263A" w:rsidP="004F263A">
      <w:pPr>
        <w:pStyle w:val="Heading3"/>
      </w:pPr>
      <w:r>
        <w:t>Output:</w:t>
      </w:r>
    </w:p>
    <w:p w14:paraId="489F39F7" w14:textId="3254A139" w:rsidR="004F263A" w:rsidRPr="004F263A" w:rsidRDefault="004F263A" w:rsidP="004F263A">
      <w:r w:rsidRPr="004F263A">
        <w:drawing>
          <wp:inline distT="0" distB="0" distL="0" distR="0" wp14:anchorId="2054FAE7" wp14:editId="30361E54">
            <wp:extent cx="4876800" cy="3048000"/>
            <wp:effectExtent l="0" t="0" r="0" b="0"/>
            <wp:docPr id="1707081685" name="Picture 5" descr="A graph showing the growth of teach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81685" name="Picture 5" descr="A graph showing the growth of teache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14:paraId="1F7F8216" w14:textId="77777777" w:rsidR="004F263A" w:rsidRPr="004F263A" w:rsidRDefault="004F263A" w:rsidP="004F263A">
      <w:r w:rsidRPr="004F263A">
        <w:t xml:space="preserve">The national trend for </w:t>
      </w:r>
      <w:r w:rsidRPr="004F263A">
        <w:rPr>
          <w:b/>
          <w:bCs/>
        </w:rPr>
        <w:t>Teachers per Program</w:t>
      </w:r>
      <w:r w:rsidRPr="004F263A">
        <w:t xml:space="preserve"> shows a steady, albeit slow, increase from </w:t>
      </w:r>
      <w:r w:rsidRPr="004F263A">
        <w:rPr>
          <w:b/>
          <w:bCs/>
        </w:rPr>
        <w:t>2020</w:t>
      </w:r>
      <w:r w:rsidRPr="004F263A">
        <w:t xml:space="preserve"> to </w:t>
      </w:r>
      <w:r w:rsidRPr="004F263A">
        <w:rPr>
          <w:b/>
          <w:bCs/>
        </w:rPr>
        <w:t>2024</w:t>
      </w:r>
      <w:r w:rsidRPr="004F263A">
        <w:t>. This indicates that the national average of teachers associated with each program has been growing over this period.</w:t>
      </w:r>
    </w:p>
    <w:p w14:paraId="79AE5929" w14:textId="77777777" w:rsidR="004F263A" w:rsidRPr="004F263A" w:rsidRDefault="004F263A" w:rsidP="004F263A">
      <w:pPr>
        <w:rPr>
          <w:b/>
          <w:bCs/>
        </w:rPr>
      </w:pPr>
      <w:r w:rsidRPr="004F263A">
        <w:rPr>
          <w:b/>
          <w:bCs/>
        </w:rPr>
        <w:t>National Trend of Teachers per Program</w:t>
      </w:r>
    </w:p>
    <w:tbl>
      <w:tblPr>
        <w:tblStyle w:val="TableGrid"/>
        <w:tblW w:w="0" w:type="auto"/>
        <w:tblLook w:val="04A0" w:firstRow="1" w:lastRow="0" w:firstColumn="1" w:lastColumn="0" w:noHBand="0" w:noVBand="1"/>
      </w:tblPr>
      <w:tblGrid>
        <w:gridCol w:w="663"/>
        <w:gridCol w:w="2340"/>
      </w:tblGrid>
      <w:tr w:rsidR="004F263A" w:rsidRPr="004F263A" w14:paraId="447D8096" w14:textId="77777777" w:rsidTr="00B67CED">
        <w:tc>
          <w:tcPr>
            <w:tcW w:w="0" w:type="auto"/>
            <w:hideMark/>
          </w:tcPr>
          <w:p w14:paraId="309F6B90" w14:textId="77777777" w:rsidR="004F263A" w:rsidRPr="004F263A" w:rsidRDefault="004F263A" w:rsidP="004F263A">
            <w:r w:rsidRPr="004F263A">
              <w:rPr>
                <w:b/>
                <w:bCs/>
              </w:rPr>
              <w:t>Year</w:t>
            </w:r>
          </w:p>
        </w:tc>
        <w:tc>
          <w:tcPr>
            <w:tcW w:w="0" w:type="auto"/>
            <w:hideMark/>
          </w:tcPr>
          <w:p w14:paraId="6EEE3BEA" w14:textId="77777777" w:rsidR="004F263A" w:rsidRPr="004F263A" w:rsidRDefault="004F263A" w:rsidP="004F263A">
            <w:proofErr w:type="spellStart"/>
            <w:r w:rsidRPr="004F263A">
              <w:rPr>
                <w:b/>
                <w:bCs/>
              </w:rPr>
              <w:t>Teachers_Per_Program</w:t>
            </w:r>
            <w:proofErr w:type="spellEnd"/>
          </w:p>
        </w:tc>
      </w:tr>
      <w:tr w:rsidR="004F263A" w:rsidRPr="004F263A" w14:paraId="7DCA7DAA" w14:textId="77777777" w:rsidTr="00B67CED">
        <w:tc>
          <w:tcPr>
            <w:tcW w:w="0" w:type="auto"/>
            <w:hideMark/>
          </w:tcPr>
          <w:p w14:paraId="1DBAC8A5" w14:textId="77777777" w:rsidR="004F263A" w:rsidRPr="004F263A" w:rsidRDefault="004F263A" w:rsidP="004F263A">
            <w:r w:rsidRPr="004F263A">
              <w:t>2020</w:t>
            </w:r>
          </w:p>
        </w:tc>
        <w:tc>
          <w:tcPr>
            <w:tcW w:w="0" w:type="auto"/>
            <w:hideMark/>
          </w:tcPr>
          <w:p w14:paraId="21B026BA" w14:textId="77777777" w:rsidR="004F263A" w:rsidRPr="004F263A" w:rsidRDefault="004F263A" w:rsidP="004F263A">
            <w:r w:rsidRPr="004F263A">
              <w:t>1.551</w:t>
            </w:r>
          </w:p>
        </w:tc>
      </w:tr>
      <w:tr w:rsidR="004F263A" w:rsidRPr="004F263A" w14:paraId="5FB62E4A" w14:textId="77777777" w:rsidTr="00B67CED">
        <w:tc>
          <w:tcPr>
            <w:tcW w:w="0" w:type="auto"/>
            <w:hideMark/>
          </w:tcPr>
          <w:p w14:paraId="5C43E9A1" w14:textId="77777777" w:rsidR="004F263A" w:rsidRPr="004F263A" w:rsidRDefault="004F263A" w:rsidP="004F263A">
            <w:r w:rsidRPr="004F263A">
              <w:t>2021</w:t>
            </w:r>
          </w:p>
        </w:tc>
        <w:tc>
          <w:tcPr>
            <w:tcW w:w="0" w:type="auto"/>
            <w:hideMark/>
          </w:tcPr>
          <w:p w14:paraId="34669D88" w14:textId="77777777" w:rsidR="004F263A" w:rsidRPr="004F263A" w:rsidRDefault="004F263A" w:rsidP="004F263A">
            <w:r w:rsidRPr="004F263A">
              <w:t>1.578</w:t>
            </w:r>
          </w:p>
        </w:tc>
      </w:tr>
      <w:tr w:rsidR="004F263A" w:rsidRPr="004F263A" w14:paraId="07A2FD6C" w14:textId="77777777" w:rsidTr="00B67CED">
        <w:tc>
          <w:tcPr>
            <w:tcW w:w="0" w:type="auto"/>
            <w:hideMark/>
          </w:tcPr>
          <w:p w14:paraId="6B1ABC73" w14:textId="77777777" w:rsidR="004F263A" w:rsidRPr="004F263A" w:rsidRDefault="004F263A" w:rsidP="004F263A">
            <w:r w:rsidRPr="004F263A">
              <w:t>2022</w:t>
            </w:r>
          </w:p>
        </w:tc>
        <w:tc>
          <w:tcPr>
            <w:tcW w:w="0" w:type="auto"/>
            <w:hideMark/>
          </w:tcPr>
          <w:p w14:paraId="7BBC735F" w14:textId="77777777" w:rsidR="004F263A" w:rsidRPr="004F263A" w:rsidRDefault="004F263A" w:rsidP="004F263A">
            <w:r w:rsidRPr="004F263A">
              <w:t>1.600</w:t>
            </w:r>
          </w:p>
        </w:tc>
      </w:tr>
      <w:tr w:rsidR="004F263A" w:rsidRPr="004F263A" w14:paraId="54545F08" w14:textId="77777777" w:rsidTr="00B67CED">
        <w:tc>
          <w:tcPr>
            <w:tcW w:w="0" w:type="auto"/>
            <w:hideMark/>
          </w:tcPr>
          <w:p w14:paraId="12E0E018" w14:textId="77777777" w:rsidR="004F263A" w:rsidRPr="004F263A" w:rsidRDefault="004F263A" w:rsidP="004F263A">
            <w:r w:rsidRPr="004F263A">
              <w:t>2023</w:t>
            </w:r>
          </w:p>
        </w:tc>
        <w:tc>
          <w:tcPr>
            <w:tcW w:w="0" w:type="auto"/>
            <w:hideMark/>
          </w:tcPr>
          <w:p w14:paraId="5801B39C" w14:textId="77777777" w:rsidR="004F263A" w:rsidRPr="004F263A" w:rsidRDefault="004F263A" w:rsidP="004F263A">
            <w:r w:rsidRPr="004F263A">
              <w:t>1.601</w:t>
            </w:r>
          </w:p>
        </w:tc>
      </w:tr>
      <w:tr w:rsidR="004F263A" w:rsidRPr="004F263A" w14:paraId="056D4B0D" w14:textId="77777777" w:rsidTr="00B67CED">
        <w:tc>
          <w:tcPr>
            <w:tcW w:w="0" w:type="auto"/>
            <w:hideMark/>
          </w:tcPr>
          <w:p w14:paraId="43CE9D4F" w14:textId="77777777" w:rsidR="004F263A" w:rsidRPr="004F263A" w:rsidRDefault="004F263A" w:rsidP="004F263A">
            <w:r w:rsidRPr="004F263A">
              <w:t>2024</w:t>
            </w:r>
          </w:p>
        </w:tc>
        <w:tc>
          <w:tcPr>
            <w:tcW w:w="0" w:type="auto"/>
            <w:hideMark/>
          </w:tcPr>
          <w:p w14:paraId="6875ACA6" w14:textId="77777777" w:rsidR="004F263A" w:rsidRPr="004F263A" w:rsidRDefault="004F263A" w:rsidP="004F263A">
            <w:r w:rsidRPr="004F263A">
              <w:t>1.620</w:t>
            </w:r>
          </w:p>
        </w:tc>
      </w:tr>
    </w:tbl>
    <w:p w14:paraId="4CE4F708" w14:textId="77777777" w:rsidR="004F263A" w:rsidRPr="004F263A" w:rsidRDefault="004F263A" w:rsidP="004F263A">
      <w:r w:rsidRPr="004F263A">
        <w:t xml:space="preserve">The ratio increased from approximately </w:t>
      </w:r>
      <w:r w:rsidRPr="004F263A">
        <w:rPr>
          <w:b/>
          <w:bCs/>
        </w:rPr>
        <w:t>1.551</w:t>
      </w:r>
      <w:r w:rsidRPr="004F263A">
        <w:t xml:space="preserve"> teachers per program in 2020 to </w:t>
      </w:r>
      <w:r w:rsidRPr="004F263A">
        <w:rPr>
          <w:b/>
          <w:bCs/>
        </w:rPr>
        <w:t>1.620</w:t>
      </w:r>
      <w:r w:rsidRPr="004F263A">
        <w:t xml:space="preserve"> teachers per program in 2024. This suggests that, on average, programs are slightly larger or have a higher staffing level than they did four years ago.</w:t>
      </w:r>
    </w:p>
    <w:p w14:paraId="15F849B3" w14:textId="0F3ADAFB" w:rsidR="004F263A" w:rsidRDefault="004F263A" w:rsidP="008E30F4"/>
    <w:p w14:paraId="1D4B6A76" w14:textId="36AA1705" w:rsidR="004F263A" w:rsidRDefault="004F263A" w:rsidP="004F263A">
      <w:pPr>
        <w:pStyle w:val="Heading3"/>
      </w:pPr>
      <w:r>
        <w:lastRenderedPageBreak/>
        <w:t xml:space="preserve">Prompt: </w:t>
      </w:r>
      <w:r w:rsidRPr="004F263A">
        <w:t xml:space="preserve">What </w:t>
      </w:r>
      <w:r w:rsidRPr="004F263A">
        <w:t>effect</w:t>
      </w:r>
      <w:r w:rsidRPr="004F263A">
        <w:t xml:space="preserve"> does this trend have on the demand for teachers?</w:t>
      </w:r>
    </w:p>
    <w:p w14:paraId="3DE21134" w14:textId="69EC4C26" w:rsidR="004F263A" w:rsidRDefault="004F263A" w:rsidP="004F263A">
      <w:pPr>
        <w:pStyle w:val="Heading3"/>
      </w:pPr>
      <w:r>
        <w:t xml:space="preserve">Output: </w:t>
      </w:r>
    </w:p>
    <w:p w14:paraId="271687C0" w14:textId="77777777" w:rsidR="004F263A" w:rsidRPr="004F263A" w:rsidRDefault="004F263A" w:rsidP="004F263A">
      <w:r w:rsidRPr="004F263A">
        <w:t xml:space="preserve">The trend of increasing </w:t>
      </w:r>
      <w:r w:rsidRPr="004F263A">
        <w:rPr>
          <w:b/>
          <w:bCs/>
        </w:rPr>
        <w:t>Teachers per Program</w:t>
      </w:r>
      <w:r w:rsidRPr="004F263A">
        <w:t xml:space="preserve"> suggests a </w:t>
      </w:r>
      <w:r w:rsidRPr="004F263A">
        <w:rPr>
          <w:b/>
          <w:bCs/>
        </w:rPr>
        <w:t>heightened demand for teachers</w:t>
      </w:r>
      <w:r w:rsidRPr="004F263A">
        <w:t xml:space="preserve"> for two main reasons, reflecting growth both in the number of programs and in the staffing intensity of those programs.</w:t>
      </w:r>
    </w:p>
    <w:p w14:paraId="2662A186" w14:textId="77777777" w:rsidR="004F263A" w:rsidRPr="004F263A" w:rsidRDefault="004F263A" w:rsidP="004F263A">
      <w:r w:rsidRPr="004F263A">
        <w:t>The demand for teachers is affected by the combination of two underlying trends:</w:t>
      </w:r>
    </w:p>
    <w:p w14:paraId="30DB642D" w14:textId="77777777" w:rsidR="004F263A" w:rsidRPr="004F263A" w:rsidRDefault="004F263A" w:rsidP="004F263A">
      <w:pPr>
        <w:rPr>
          <w:b/>
          <w:bCs/>
        </w:rPr>
      </w:pPr>
      <w:r w:rsidRPr="004F263A">
        <w:rPr>
          <w:b/>
          <w:bCs/>
        </w:rPr>
        <w:t>1. Growth in the Total Number of Teachers</w:t>
      </w:r>
    </w:p>
    <w:p w14:paraId="6B9EEBA9" w14:textId="77777777" w:rsidR="004F263A" w:rsidRPr="004F263A" w:rsidRDefault="004F263A" w:rsidP="004F263A">
      <w:r w:rsidRPr="004F263A">
        <w:t xml:space="preserve">The </w:t>
      </w:r>
      <w:r w:rsidRPr="004F263A">
        <w:rPr>
          <w:b/>
          <w:bCs/>
        </w:rPr>
        <w:t>total number of teachers</w:t>
      </w:r>
      <w:r w:rsidRPr="004F263A">
        <w:t xml:space="preserve"> has steadily increased each year (from </w:t>
      </w:r>
      <w:r w:rsidRPr="004F263A">
        <w:rPr>
          <w:b/>
          <w:bCs/>
        </w:rPr>
        <w:t>14,116.5</w:t>
      </w:r>
      <w:r w:rsidRPr="004F263A">
        <w:t xml:space="preserve"> in 2020 to </w:t>
      </w:r>
      <w:r w:rsidRPr="004F263A">
        <w:rPr>
          <w:b/>
          <w:bCs/>
        </w:rPr>
        <w:t>15,634</w:t>
      </w:r>
      <w:r w:rsidRPr="004F263A">
        <w:t xml:space="preserve"> in 2024), which is a </w:t>
      </w:r>
      <w:r w:rsidRPr="004F263A">
        <w:rPr>
          <w:b/>
          <w:bCs/>
        </w:rPr>
        <w:t>direct indication of high demand</w:t>
      </w:r>
      <w:r w:rsidRPr="004F263A">
        <w:t xml:space="preserve"> for new teaching staff to fill these additional positions.</w:t>
      </w:r>
    </w:p>
    <w:p w14:paraId="4AC3A004" w14:textId="77777777" w:rsidR="004F263A" w:rsidRPr="004F263A" w:rsidRDefault="004F263A" w:rsidP="004F263A">
      <w:pPr>
        <w:rPr>
          <w:b/>
          <w:bCs/>
        </w:rPr>
      </w:pPr>
      <w:r w:rsidRPr="004F263A">
        <w:rPr>
          <w:b/>
          <w:bCs/>
        </w:rPr>
        <w:t>2. Growth in the Teachers Per Program Ratio</w:t>
      </w:r>
    </w:p>
    <w:p w14:paraId="4DDE8967" w14:textId="77777777" w:rsidR="004F263A" w:rsidRPr="004F263A" w:rsidRDefault="004F263A" w:rsidP="004F263A">
      <w:r w:rsidRPr="004F263A">
        <w:t xml:space="preserve">The </w:t>
      </w:r>
      <w:r w:rsidRPr="004F263A">
        <w:rPr>
          <w:b/>
          <w:bCs/>
        </w:rPr>
        <w:t>Teachers per Program ratio</w:t>
      </w:r>
      <w:r w:rsidRPr="004F263A">
        <w:t xml:space="preserve"> has also increased (from </w:t>
      </w:r>
      <w:r w:rsidRPr="004F263A">
        <w:rPr>
          <w:b/>
          <w:bCs/>
        </w:rPr>
        <w:t>1.551</w:t>
      </w:r>
      <w:r w:rsidRPr="004F263A">
        <w:t xml:space="preserve"> in 2020 to </w:t>
      </w:r>
      <w:r w:rsidRPr="004F263A">
        <w:rPr>
          <w:b/>
          <w:bCs/>
        </w:rPr>
        <w:t>1.620</w:t>
      </w:r>
      <w:r w:rsidRPr="004F263A">
        <w:t xml:space="preserve"> in 2024). This increase means that:</w:t>
      </w:r>
    </w:p>
    <w:p w14:paraId="6D4A06FD" w14:textId="77777777" w:rsidR="004F263A" w:rsidRPr="004F263A" w:rsidRDefault="004F263A" w:rsidP="004F263A">
      <w:pPr>
        <w:numPr>
          <w:ilvl w:val="0"/>
          <w:numId w:val="33"/>
        </w:numPr>
      </w:pPr>
      <w:r w:rsidRPr="004F263A">
        <w:rPr>
          <w:b/>
          <w:bCs/>
        </w:rPr>
        <w:t>Programs are getting larger:</w:t>
      </w:r>
      <w:r w:rsidRPr="004F263A">
        <w:t xml:space="preserve"> New programs are being created, increasing the overall need for teachers (as seen by the rise in </w:t>
      </w:r>
      <w:proofErr w:type="spellStart"/>
      <w:r w:rsidRPr="004F263A">
        <w:rPr>
          <w:i/>
          <w:iCs/>
        </w:rPr>
        <w:t>I_Total_Programs</w:t>
      </w:r>
      <w:proofErr w:type="spellEnd"/>
      <w:r w:rsidRPr="004F263A">
        <w:t xml:space="preserve"> from 9,102 to 9,653).</w:t>
      </w:r>
    </w:p>
    <w:p w14:paraId="4BFAF831" w14:textId="77777777" w:rsidR="004F263A" w:rsidRPr="004F263A" w:rsidRDefault="004F263A" w:rsidP="004F263A">
      <w:pPr>
        <w:numPr>
          <w:ilvl w:val="0"/>
          <w:numId w:val="33"/>
        </w:numPr>
      </w:pPr>
      <w:r w:rsidRPr="004F263A">
        <w:rPr>
          <w:b/>
          <w:bCs/>
        </w:rPr>
        <w:t>Programs are becoming more staff-intensive:</w:t>
      </w:r>
      <w:r w:rsidRPr="004F263A">
        <w:t xml:space="preserve"> On average, existing or new programs are adding more teachers. This could be driven by factors such as:</w:t>
      </w:r>
    </w:p>
    <w:p w14:paraId="7610595F" w14:textId="77777777" w:rsidR="004F263A" w:rsidRPr="004F263A" w:rsidRDefault="004F263A" w:rsidP="004F263A">
      <w:pPr>
        <w:numPr>
          <w:ilvl w:val="1"/>
          <w:numId w:val="33"/>
        </w:numPr>
      </w:pPr>
      <w:r w:rsidRPr="004F263A">
        <w:rPr>
          <w:b/>
          <w:bCs/>
        </w:rPr>
        <w:t>Decreased Class Sizes:</w:t>
      </w:r>
      <w:r w:rsidRPr="004F263A">
        <w:t xml:space="preserve"> Policies aimed at reducing the number of students per teacher.</w:t>
      </w:r>
    </w:p>
    <w:p w14:paraId="6C418F17" w14:textId="77777777" w:rsidR="004F263A" w:rsidRPr="004F263A" w:rsidRDefault="004F263A" w:rsidP="004F263A">
      <w:pPr>
        <w:numPr>
          <w:ilvl w:val="1"/>
          <w:numId w:val="33"/>
        </w:numPr>
      </w:pPr>
      <w:r w:rsidRPr="004F263A">
        <w:rPr>
          <w:b/>
          <w:bCs/>
        </w:rPr>
        <w:t>Increased Course Offerings:</w:t>
      </w:r>
      <w:r w:rsidRPr="004F263A">
        <w:t xml:space="preserve"> Expanding the variety of classes, requiring more specialized teachers.</w:t>
      </w:r>
    </w:p>
    <w:p w14:paraId="2A1B4FAE" w14:textId="77777777" w:rsidR="004F263A" w:rsidRPr="004F263A" w:rsidRDefault="004F263A" w:rsidP="004F263A">
      <w:pPr>
        <w:numPr>
          <w:ilvl w:val="1"/>
          <w:numId w:val="33"/>
        </w:numPr>
      </w:pPr>
      <w:r w:rsidRPr="004F263A">
        <w:rPr>
          <w:b/>
          <w:bCs/>
        </w:rPr>
        <w:t>Greater Program Complexity:</w:t>
      </w:r>
      <w:r w:rsidRPr="004F263A">
        <w:t xml:space="preserve"> Needing more staff for specialized instruction, student support, or expanded career pathways.</w:t>
      </w:r>
    </w:p>
    <w:p w14:paraId="74CC9675" w14:textId="77777777" w:rsidR="004F263A" w:rsidRPr="004F263A" w:rsidRDefault="004F263A" w:rsidP="004F263A">
      <w:r w:rsidRPr="004F263A">
        <w:t xml:space="preserve">In summary, the upward trend in the Teachers per Program ratio means that not only are </w:t>
      </w:r>
      <w:r w:rsidRPr="004F263A">
        <w:rPr>
          <w:b/>
          <w:bCs/>
        </w:rPr>
        <w:t xml:space="preserve">more programs </w:t>
      </w:r>
      <w:proofErr w:type="gramStart"/>
      <w:r w:rsidRPr="004F263A">
        <w:rPr>
          <w:b/>
          <w:bCs/>
        </w:rPr>
        <w:t>being established</w:t>
      </w:r>
      <w:proofErr w:type="gramEnd"/>
      <w:r w:rsidRPr="004F263A">
        <w:t xml:space="preserve">, but </w:t>
      </w:r>
      <w:r w:rsidRPr="004F263A">
        <w:rPr>
          <w:b/>
          <w:bCs/>
        </w:rPr>
        <w:t xml:space="preserve">each </w:t>
      </w:r>
      <w:proofErr w:type="gramStart"/>
      <w:r w:rsidRPr="004F263A">
        <w:rPr>
          <w:b/>
          <w:bCs/>
        </w:rPr>
        <w:t>program is</w:t>
      </w:r>
      <w:proofErr w:type="gramEnd"/>
      <w:r w:rsidRPr="004F263A">
        <w:rPr>
          <w:b/>
          <w:bCs/>
        </w:rPr>
        <w:t xml:space="preserve"> also requiring more teachers</w:t>
      </w:r>
      <w:r w:rsidRPr="004F263A">
        <w:t xml:space="preserve"> on average, resulting in </w:t>
      </w:r>
      <w:r w:rsidRPr="004F263A">
        <w:rPr>
          <w:b/>
          <w:bCs/>
        </w:rPr>
        <w:t>compounded demand</w:t>
      </w:r>
      <w:r w:rsidRPr="004F263A">
        <w:t xml:space="preserve"> for new teachers.</w:t>
      </w:r>
    </w:p>
    <w:p w14:paraId="0FE31F22" w14:textId="77777777" w:rsidR="000059A9" w:rsidRDefault="000059A9">
      <w:pPr>
        <w:spacing w:after="0" w:line="240" w:lineRule="auto"/>
        <w:rPr>
          <w:rFonts w:ascii="Cambria" w:hAnsi="Cambria"/>
          <w:b/>
          <w:bCs/>
        </w:rPr>
      </w:pPr>
      <w:r>
        <w:br w:type="page"/>
      </w:r>
    </w:p>
    <w:p w14:paraId="3E01AE1B" w14:textId="49AD13F3" w:rsidR="000059A9" w:rsidRDefault="000059A9" w:rsidP="000059A9">
      <w:pPr>
        <w:pStyle w:val="Heading3"/>
      </w:pPr>
      <w:r>
        <w:lastRenderedPageBreak/>
        <w:t xml:space="preserve">Prompt: </w:t>
      </w:r>
      <w:r w:rsidRPr="000059A9">
        <w:t>Are there FFA Regional differences? If so, why?</w:t>
      </w:r>
    </w:p>
    <w:p w14:paraId="4DCBE8BE" w14:textId="65B7248A" w:rsidR="000059A9" w:rsidRDefault="000059A9" w:rsidP="000059A9">
      <w:pPr>
        <w:pStyle w:val="Heading3"/>
      </w:pPr>
      <w:r>
        <w:t>Output:</w:t>
      </w:r>
    </w:p>
    <w:p w14:paraId="289CD825" w14:textId="77777777" w:rsidR="000059A9" w:rsidRPr="000059A9" w:rsidRDefault="000059A9" w:rsidP="000059A9">
      <w:r w:rsidRPr="000059A9">
        <w:t xml:space="preserve">Yes, there are </w:t>
      </w:r>
      <w:r w:rsidRPr="000059A9">
        <w:rPr>
          <w:b/>
          <w:bCs/>
        </w:rPr>
        <w:t>significant differences</w:t>
      </w:r>
      <w:r w:rsidRPr="000059A9">
        <w:t xml:space="preserve"> in the growth and size of secondary agricultural programs across the FFA Regions from 2020 to 2024.</w:t>
      </w:r>
    </w:p>
    <w:p w14:paraId="241CCA40" w14:textId="77777777" w:rsidR="000059A9" w:rsidRPr="000059A9" w:rsidRDefault="000059A9" w:rsidP="000059A9">
      <w:r w:rsidRPr="000059A9">
        <w:t xml:space="preserve">The data reveals that while all four FFA Regions experienced growth in both programs and teachers, the </w:t>
      </w:r>
      <w:r w:rsidRPr="000059A9">
        <w:rPr>
          <w:b/>
          <w:bCs/>
        </w:rPr>
        <w:t>East Region</w:t>
      </w:r>
      <w:r w:rsidRPr="000059A9">
        <w:t xml:space="preserve"> had the highest growth rates, while the </w:t>
      </w:r>
      <w:r w:rsidRPr="000059A9">
        <w:rPr>
          <w:b/>
          <w:bCs/>
        </w:rPr>
        <w:t>Western Region</w:t>
      </w:r>
      <w:r w:rsidRPr="000059A9">
        <w:t xml:space="preserve"> had the lowest.</w:t>
      </w:r>
    </w:p>
    <w:p w14:paraId="7F87C5AC" w14:textId="77777777" w:rsidR="000059A9" w:rsidRPr="000059A9" w:rsidRDefault="000059A9" w:rsidP="000059A9">
      <w:r w:rsidRPr="000059A9">
        <w:pict w14:anchorId="75DBACF3">
          <v:rect id="_x0000_i1123" style="width:0;height:1.5pt" o:hralign="center" o:hrstd="t" o:hrnoshade="t" o:hr="t" fillcolor="gray" stroked="f"/>
        </w:pict>
      </w:r>
    </w:p>
    <w:p w14:paraId="16B7622E" w14:textId="77777777" w:rsidR="000059A9" w:rsidRPr="000059A9" w:rsidRDefault="000059A9" w:rsidP="000059A9">
      <w:pPr>
        <w:rPr>
          <w:b/>
          <w:bCs/>
        </w:rPr>
      </w:pPr>
      <w:r w:rsidRPr="000059A9">
        <w:rPr>
          <w:b/>
          <w:bCs/>
        </w:rPr>
        <w:t>FFA Regional Growth and Trend Comparison (2020–2024)</w:t>
      </w:r>
    </w:p>
    <w:p w14:paraId="143E3A95" w14:textId="77777777" w:rsidR="000059A9" w:rsidRPr="000059A9" w:rsidRDefault="000059A9" w:rsidP="000059A9">
      <w:r w:rsidRPr="000059A9">
        <w:t>The table below summarizes the total number of programs and teachers in 2020 and 2024, along with the growth rates for each FFA Region.</w:t>
      </w:r>
    </w:p>
    <w:tbl>
      <w:tblPr>
        <w:tblStyle w:val="TableGrid"/>
        <w:tblW w:w="0" w:type="auto"/>
        <w:tblLook w:val="04A0" w:firstRow="1" w:lastRow="0" w:firstColumn="1" w:lastColumn="0" w:noHBand="0" w:noVBand="1"/>
      </w:tblPr>
      <w:tblGrid>
        <w:gridCol w:w="1128"/>
        <w:gridCol w:w="1348"/>
        <w:gridCol w:w="1292"/>
        <w:gridCol w:w="1348"/>
        <w:gridCol w:w="1292"/>
        <w:gridCol w:w="1499"/>
        <w:gridCol w:w="1443"/>
      </w:tblGrid>
      <w:tr w:rsidR="000059A9" w:rsidRPr="000059A9" w14:paraId="6B6231BF" w14:textId="77777777" w:rsidTr="000059A9">
        <w:tc>
          <w:tcPr>
            <w:tcW w:w="0" w:type="auto"/>
            <w:hideMark/>
          </w:tcPr>
          <w:p w14:paraId="325A1EA0" w14:textId="77777777" w:rsidR="000059A9" w:rsidRPr="000059A9" w:rsidRDefault="000059A9" w:rsidP="000059A9">
            <w:r w:rsidRPr="000059A9">
              <w:rPr>
                <w:b/>
                <w:bCs/>
              </w:rPr>
              <w:t>FFA Region</w:t>
            </w:r>
          </w:p>
        </w:tc>
        <w:tc>
          <w:tcPr>
            <w:tcW w:w="0" w:type="auto"/>
            <w:hideMark/>
          </w:tcPr>
          <w:p w14:paraId="4655B851" w14:textId="77777777" w:rsidR="000059A9" w:rsidRPr="000059A9" w:rsidRDefault="000059A9" w:rsidP="000059A9">
            <w:r w:rsidRPr="000059A9">
              <w:rPr>
                <w:b/>
                <w:bCs/>
              </w:rPr>
              <w:t>Programs (2020)</w:t>
            </w:r>
          </w:p>
        </w:tc>
        <w:tc>
          <w:tcPr>
            <w:tcW w:w="0" w:type="auto"/>
            <w:hideMark/>
          </w:tcPr>
          <w:p w14:paraId="618CCD3F" w14:textId="77777777" w:rsidR="000059A9" w:rsidRPr="000059A9" w:rsidRDefault="000059A9" w:rsidP="000059A9">
            <w:r w:rsidRPr="000059A9">
              <w:rPr>
                <w:b/>
                <w:bCs/>
              </w:rPr>
              <w:t>Teachers (2020)</w:t>
            </w:r>
          </w:p>
        </w:tc>
        <w:tc>
          <w:tcPr>
            <w:tcW w:w="0" w:type="auto"/>
            <w:hideMark/>
          </w:tcPr>
          <w:p w14:paraId="71AAD136" w14:textId="77777777" w:rsidR="000059A9" w:rsidRPr="000059A9" w:rsidRDefault="000059A9" w:rsidP="000059A9">
            <w:r w:rsidRPr="000059A9">
              <w:rPr>
                <w:b/>
                <w:bCs/>
              </w:rPr>
              <w:t>Programs (2024)</w:t>
            </w:r>
          </w:p>
        </w:tc>
        <w:tc>
          <w:tcPr>
            <w:tcW w:w="0" w:type="auto"/>
            <w:hideMark/>
          </w:tcPr>
          <w:p w14:paraId="4128F0F7" w14:textId="77777777" w:rsidR="000059A9" w:rsidRPr="000059A9" w:rsidRDefault="000059A9" w:rsidP="000059A9">
            <w:r w:rsidRPr="000059A9">
              <w:rPr>
                <w:b/>
                <w:bCs/>
              </w:rPr>
              <w:t>Teachers (2024)</w:t>
            </w:r>
          </w:p>
        </w:tc>
        <w:tc>
          <w:tcPr>
            <w:tcW w:w="0" w:type="auto"/>
            <w:hideMark/>
          </w:tcPr>
          <w:p w14:paraId="5AB10061" w14:textId="77777777" w:rsidR="000059A9" w:rsidRPr="000059A9" w:rsidRDefault="000059A9" w:rsidP="000059A9">
            <w:r w:rsidRPr="000059A9">
              <w:rPr>
                <w:b/>
                <w:bCs/>
              </w:rPr>
              <w:t>Program Growth Rate</w:t>
            </w:r>
          </w:p>
        </w:tc>
        <w:tc>
          <w:tcPr>
            <w:tcW w:w="0" w:type="auto"/>
            <w:hideMark/>
          </w:tcPr>
          <w:p w14:paraId="53688279" w14:textId="77777777" w:rsidR="000059A9" w:rsidRPr="000059A9" w:rsidRDefault="000059A9" w:rsidP="000059A9">
            <w:r w:rsidRPr="000059A9">
              <w:rPr>
                <w:b/>
                <w:bCs/>
              </w:rPr>
              <w:t>Teacher Growth Rate</w:t>
            </w:r>
          </w:p>
        </w:tc>
      </w:tr>
      <w:tr w:rsidR="000059A9" w:rsidRPr="000059A9" w14:paraId="18892083" w14:textId="77777777" w:rsidTr="000059A9">
        <w:tc>
          <w:tcPr>
            <w:tcW w:w="0" w:type="auto"/>
            <w:hideMark/>
          </w:tcPr>
          <w:p w14:paraId="311B6BC4" w14:textId="77777777" w:rsidR="000059A9" w:rsidRPr="000059A9" w:rsidRDefault="000059A9" w:rsidP="000059A9">
            <w:r w:rsidRPr="000059A9">
              <w:rPr>
                <w:b/>
                <w:bCs/>
              </w:rPr>
              <w:t>East</w:t>
            </w:r>
          </w:p>
        </w:tc>
        <w:tc>
          <w:tcPr>
            <w:tcW w:w="0" w:type="auto"/>
            <w:hideMark/>
          </w:tcPr>
          <w:p w14:paraId="04020FF4" w14:textId="77777777" w:rsidR="000059A9" w:rsidRPr="000059A9" w:rsidRDefault="000059A9" w:rsidP="000059A9">
            <w:r w:rsidRPr="000059A9">
              <w:t>2,193</w:t>
            </w:r>
          </w:p>
        </w:tc>
        <w:tc>
          <w:tcPr>
            <w:tcW w:w="0" w:type="auto"/>
            <w:hideMark/>
          </w:tcPr>
          <w:p w14:paraId="5E2ABDA2" w14:textId="77777777" w:rsidR="000059A9" w:rsidRPr="000059A9" w:rsidRDefault="000059A9" w:rsidP="000059A9">
            <w:r w:rsidRPr="000059A9">
              <w:t>3,297</w:t>
            </w:r>
          </w:p>
        </w:tc>
        <w:tc>
          <w:tcPr>
            <w:tcW w:w="0" w:type="auto"/>
            <w:hideMark/>
          </w:tcPr>
          <w:p w14:paraId="28B9E052" w14:textId="77777777" w:rsidR="000059A9" w:rsidRPr="000059A9" w:rsidRDefault="000059A9" w:rsidP="000059A9">
            <w:r w:rsidRPr="000059A9">
              <w:t>2,373</w:t>
            </w:r>
          </w:p>
        </w:tc>
        <w:tc>
          <w:tcPr>
            <w:tcW w:w="0" w:type="auto"/>
            <w:hideMark/>
          </w:tcPr>
          <w:p w14:paraId="7DDF75EA" w14:textId="77777777" w:rsidR="000059A9" w:rsidRPr="000059A9" w:rsidRDefault="000059A9" w:rsidP="000059A9">
            <w:r w:rsidRPr="000059A9">
              <w:t>3,802</w:t>
            </w:r>
          </w:p>
        </w:tc>
        <w:tc>
          <w:tcPr>
            <w:tcW w:w="0" w:type="auto"/>
            <w:hideMark/>
          </w:tcPr>
          <w:p w14:paraId="00BB80D5" w14:textId="1345D592" w:rsidR="000059A9" w:rsidRPr="000059A9" w:rsidRDefault="000059A9" w:rsidP="000059A9">
            <w:r w:rsidRPr="000059A9">
              <w:t>8.21%</w:t>
            </w:r>
          </w:p>
        </w:tc>
        <w:tc>
          <w:tcPr>
            <w:tcW w:w="0" w:type="auto"/>
            <w:hideMark/>
          </w:tcPr>
          <w:p w14:paraId="344A115E" w14:textId="7DAF5EE1" w:rsidR="000059A9" w:rsidRPr="000059A9" w:rsidRDefault="000059A9" w:rsidP="000059A9">
            <w:r w:rsidRPr="000059A9">
              <w:t>15.32%</w:t>
            </w:r>
          </w:p>
        </w:tc>
      </w:tr>
      <w:tr w:rsidR="000059A9" w:rsidRPr="000059A9" w14:paraId="5A71B647" w14:textId="77777777" w:rsidTr="000059A9">
        <w:tc>
          <w:tcPr>
            <w:tcW w:w="0" w:type="auto"/>
            <w:hideMark/>
          </w:tcPr>
          <w:p w14:paraId="5FB10D01" w14:textId="77777777" w:rsidR="000059A9" w:rsidRPr="000059A9" w:rsidRDefault="000059A9" w:rsidP="000059A9">
            <w:r w:rsidRPr="000059A9">
              <w:rPr>
                <w:b/>
                <w:bCs/>
              </w:rPr>
              <w:t>Central</w:t>
            </w:r>
          </w:p>
        </w:tc>
        <w:tc>
          <w:tcPr>
            <w:tcW w:w="0" w:type="auto"/>
            <w:hideMark/>
          </w:tcPr>
          <w:p w14:paraId="264CC588" w14:textId="77777777" w:rsidR="000059A9" w:rsidRPr="000059A9" w:rsidRDefault="000059A9" w:rsidP="000059A9">
            <w:r w:rsidRPr="000059A9">
              <w:t>2,328</w:t>
            </w:r>
          </w:p>
        </w:tc>
        <w:tc>
          <w:tcPr>
            <w:tcW w:w="0" w:type="auto"/>
            <w:hideMark/>
          </w:tcPr>
          <w:p w14:paraId="6A42AC40" w14:textId="77777777" w:rsidR="000059A9" w:rsidRPr="000059A9" w:rsidRDefault="000059A9" w:rsidP="000059A9">
            <w:r w:rsidRPr="000059A9">
              <w:t>2,922</w:t>
            </w:r>
          </w:p>
        </w:tc>
        <w:tc>
          <w:tcPr>
            <w:tcW w:w="0" w:type="auto"/>
            <w:hideMark/>
          </w:tcPr>
          <w:p w14:paraId="1AD6F5C9" w14:textId="77777777" w:rsidR="000059A9" w:rsidRPr="000059A9" w:rsidRDefault="000059A9" w:rsidP="000059A9">
            <w:r w:rsidRPr="000059A9">
              <w:t>2,470</w:t>
            </w:r>
          </w:p>
        </w:tc>
        <w:tc>
          <w:tcPr>
            <w:tcW w:w="0" w:type="auto"/>
            <w:hideMark/>
          </w:tcPr>
          <w:p w14:paraId="439FCE07" w14:textId="77777777" w:rsidR="000059A9" w:rsidRPr="000059A9" w:rsidRDefault="000059A9" w:rsidP="000059A9">
            <w:r w:rsidRPr="000059A9">
              <w:t>3,265</w:t>
            </w:r>
          </w:p>
        </w:tc>
        <w:tc>
          <w:tcPr>
            <w:tcW w:w="0" w:type="auto"/>
            <w:hideMark/>
          </w:tcPr>
          <w:p w14:paraId="64AFAA3F" w14:textId="7A6F390A" w:rsidR="000059A9" w:rsidRPr="000059A9" w:rsidRDefault="000059A9" w:rsidP="000059A9">
            <w:r w:rsidRPr="000059A9">
              <w:t>6.10%</w:t>
            </w:r>
          </w:p>
        </w:tc>
        <w:tc>
          <w:tcPr>
            <w:tcW w:w="0" w:type="auto"/>
            <w:hideMark/>
          </w:tcPr>
          <w:p w14:paraId="42232C92" w14:textId="0118CF29" w:rsidR="000059A9" w:rsidRPr="000059A9" w:rsidRDefault="000059A9" w:rsidP="000059A9">
            <w:r w:rsidRPr="000059A9">
              <w:t>11.74%</w:t>
            </w:r>
          </w:p>
        </w:tc>
      </w:tr>
      <w:tr w:rsidR="000059A9" w:rsidRPr="000059A9" w14:paraId="522E718B" w14:textId="77777777" w:rsidTr="000059A9">
        <w:tc>
          <w:tcPr>
            <w:tcW w:w="0" w:type="auto"/>
            <w:hideMark/>
          </w:tcPr>
          <w:p w14:paraId="576AA872" w14:textId="77777777" w:rsidR="000059A9" w:rsidRPr="000059A9" w:rsidRDefault="000059A9" w:rsidP="000059A9">
            <w:r w:rsidRPr="000059A9">
              <w:rPr>
                <w:b/>
                <w:bCs/>
              </w:rPr>
              <w:t>Southern</w:t>
            </w:r>
          </w:p>
        </w:tc>
        <w:tc>
          <w:tcPr>
            <w:tcW w:w="0" w:type="auto"/>
            <w:hideMark/>
          </w:tcPr>
          <w:p w14:paraId="31CCF169" w14:textId="77777777" w:rsidR="000059A9" w:rsidRPr="000059A9" w:rsidRDefault="000059A9" w:rsidP="000059A9">
            <w:r w:rsidRPr="000059A9">
              <w:t>2,392</w:t>
            </w:r>
          </w:p>
        </w:tc>
        <w:tc>
          <w:tcPr>
            <w:tcW w:w="0" w:type="auto"/>
            <w:hideMark/>
          </w:tcPr>
          <w:p w14:paraId="1E561460" w14:textId="77777777" w:rsidR="000059A9" w:rsidRPr="000059A9" w:rsidRDefault="000059A9" w:rsidP="000059A9">
            <w:r w:rsidRPr="000059A9">
              <w:t>3,273</w:t>
            </w:r>
          </w:p>
        </w:tc>
        <w:tc>
          <w:tcPr>
            <w:tcW w:w="0" w:type="auto"/>
            <w:hideMark/>
          </w:tcPr>
          <w:p w14:paraId="6758686F" w14:textId="77777777" w:rsidR="000059A9" w:rsidRPr="000059A9" w:rsidRDefault="000059A9" w:rsidP="000059A9">
            <w:r w:rsidRPr="000059A9">
              <w:t>2,516</w:t>
            </w:r>
          </w:p>
        </w:tc>
        <w:tc>
          <w:tcPr>
            <w:tcW w:w="0" w:type="auto"/>
            <w:hideMark/>
          </w:tcPr>
          <w:p w14:paraId="45AB680E" w14:textId="77777777" w:rsidR="000059A9" w:rsidRPr="000059A9" w:rsidRDefault="000059A9" w:rsidP="000059A9">
            <w:r w:rsidRPr="000059A9">
              <w:t>3,564</w:t>
            </w:r>
          </w:p>
        </w:tc>
        <w:tc>
          <w:tcPr>
            <w:tcW w:w="0" w:type="auto"/>
            <w:hideMark/>
          </w:tcPr>
          <w:p w14:paraId="5BC3B2FB" w14:textId="338670D0" w:rsidR="000059A9" w:rsidRPr="000059A9" w:rsidRDefault="000059A9" w:rsidP="000059A9">
            <w:r w:rsidRPr="000059A9">
              <w:t>5.18%</w:t>
            </w:r>
          </w:p>
        </w:tc>
        <w:tc>
          <w:tcPr>
            <w:tcW w:w="0" w:type="auto"/>
            <w:hideMark/>
          </w:tcPr>
          <w:p w14:paraId="7DB63579" w14:textId="1E33CBE0" w:rsidR="000059A9" w:rsidRPr="000059A9" w:rsidRDefault="000059A9" w:rsidP="000059A9">
            <w:r w:rsidRPr="000059A9">
              <w:t>8.89%</w:t>
            </w:r>
          </w:p>
        </w:tc>
      </w:tr>
      <w:tr w:rsidR="000059A9" w:rsidRPr="000059A9" w14:paraId="41DEBF51" w14:textId="77777777" w:rsidTr="000059A9">
        <w:tc>
          <w:tcPr>
            <w:tcW w:w="0" w:type="auto"/>
            <w:hideMark/>
          </w:tcPr>
          <w:p w14:paraId="5AC6D4CF" w14:textId="77777777" w:rsidR="000059A9" w:rsidRPr="000059A9" w:rsidRDefault="000059A9" w:rsidP="000059A9">
            <w:r w:rsidRPr="000059A9">
              <w:rPr>
                <w:b/>
                <w:bCs/>
              </w:rPr>
              <w:t>Western</w:t>
            </w:r>
          </w:p>
        </w:tc>
        <w:tc>
          <w:tcPr>
            <w:tcW w:w="0" w:type="auto"/>
            <w:hideMark/>
          </w:tcPr>
          <w:p w14:paraId="18DEF7F2" w14:textId="77777777" w:rsidR="000059A9" w:rsidRPr="000059A9" w:rsidRDefault="000059A9" w:rsidP="000059A9">
            <w:r w:rsidRPr="000059A9">
              <w:t>2,189</w:t>
            </w:r>
          </w:p>
        </w:tc>
        <w:tc>
          <w:tcPr>
            <w:tcW w:w="0" w:type="auto"/>
            <w:hideMark/>
          </w:tcPr>
          <w:p w14:paraId="3CDAC439" w14:textId="77777777" w:rsidR="000059A9" w:rsidRPr="000059A9" w:rsidRDefault="000059A9" w:rsidP="000059A9">
            <w:r w:rsidRPr="000059A9">
              <w:t>4,624</w:t>
            </w:r>
          </w:p>
        </w:tc>
        <w:tc>
          <w:tcPr>
            <w:tcW w:w="0" w:type="auto"/>
            <w:hideMark/>
          </w:tcPr>
          <w:p w14:paraId="2FA69939" w14:textId="77777777" w:rsidR="000059A9" w:rsidRPr="000059A9" w:rsidRDefault="000059A9" w:rsidP="000059A9">
            <w:r w:rsidRPr="000059A9">
              <w:t>2,294</w:t>
            </w:r>
          </w:p>
        </w:tc>
        <w:tc>
          <w:tcPr>
            <w:tcW w:w="0" w:type="auto"/>
            <w:hideMark/>
          </w:tcPr>
          <w:p w14:paraId="2550E35F" w14:textId="77777777" w:rsidR="000059A9" w:rsidRPr="000059A9" w:rsidRDefault="000059A9" w:rsidP="000059A9">
            <w:r w:rsidRPr="000059A9">
              <w:t>5,003</w:t>
            </w:r>
          </w:p>
        </w:tc>
        <w:tc>
          <w:tcPr>
            <w:tcW w:w="0" w:type="auto"/>
            <w:hideMark/>
          </w:tcPr>
          <w:p w14:paraId="2B2F67D0" w14:textId="26683C4B" w:rsidR="000059A9" w:rsidRPr="000059A9" w:rsidRDefault="000059A9" w:rsidP="000059A9">
            <w:r w:rsidRPr="000059A9">
              <w:t>4.80%</w:t>
            </w:r>
          </w:p>
        </w:tc>
        <w:tc>
          <w:tcPr>
            <w:tcW w:w="0" w:type="auto"/>
            <w:hideMark/>
          </w:tcPr>
          <w:p w14:paraId="54AE6829" w14:textId="06A32150" w:rsidR="000059A9" w:rsidRPr="000059A9" w:rsidRDefault="000059A9" w:rsidP="000059A9">
            <w:r w:rsidRPr="000059A9">
              <w:t>8.20%</w:t>
            </w:r>
          </w:p>
        </w:tc>
      </w:tr>
    </w:tbl>
    <w:p w14:paraId="195E58C6" w14:textId="77777777" w:rsidR="000059A9" w:rsidRPr="000059A9" w:rsidRDefault="000059A9" w:rsidP="000059A9">
      <w:pPr>
        <w:rPr>
          <w:b/>
          <w:bCs/>
        </w:rPr>
      </w:pPr>
      <w:r w:rsidRPr="000059A9">
        <w:rPr>
          <w:b/>
          <w:bCs/>
        </w:rPr>
        <w:t>Key Differences and Observations</w:t>
      </w:r>
    </w:p>
    <w:p w14:paraId="53806F4F" w14:textId="77777777" w:rsidR="000059A9" w:rsidRPr="000059A9" w:rsidRDefault="000059A9" w:rsidP="000059A9">
      <w:pPr>
        <w:numPr>
          <w:ilvl w:val="0"/>
          <w:numId w:val="39"/>
        </w:numPr>
      </w:pPr>
      <w:r w:rsidRPr="000059A9">
        <w:rPr>
          <w:b/>
          <w:bCs/>
        </w:rPr>
        <w:t>Highest Growth: East Region</w:t>
      </w:r>
    </w:p>
    <w:p w14:paraId="013AF934" w14:textId="77777777" w:rsidR="000059A9" w:rsidRPr="000059A9" w:rsidRDefault="000059A9" w:rsidP="000059A9">
      <w:pPr>
        <w:numPr>
          <w:ilvl w:val="1"/>
          <w:numId w:val="39"/>
        </w:numPr>
      </w:pPr>
      <w:r w:rsidRPr="000059A9">
        <w:t xml:space="preserve">The </w:t>
      </w:r>
      <w:r w:rsidRPr="000059A9">
        <w:rPr>
          <w:b/>
          <w:bCs/>
        </w:rPr>
        <w:t>East Region</w:t>
      </w:r>
      <w:r w:rsidRPr="000059A9">
        <w:t xml:space="preserve"> showed the most aggressive expansion, leading all regions with an </w:t>
      </w:r>
      <w:r w:rsidRPr="000059A9">
        <w:rPr>
          <w:b/>
          <w:bCs/>
        </w:rPr>
        <w:t>$8.21\%$ growth in programs</w:t>
      </w:r>
      <w:r w:rsidRPr="000059A9">
        <w:t xml:space="preserve"> and a remarkable </w:t>
      </w:r>
      <w:r w:rsidRPr="000059A9">
        <w:rPr>
          <w:b/>
          <w:bCs/>
        </w:rPr>
        <w:t>$15.32\%$ growth in teachers</w:t>
      </w:r>
      <w:r w:rsidRPr="000059A9">
        <w:t>. This suggests a strong commitment to establishing new programs and/or rapidly adding teaching positions to existing programs in this area.</w:t>
      </w:r>
    </w:p>
    <w:p w14:paraId="4E76E8A7" w14:textId="77777777" w:rsidR="000059A9" w:rsidRPr="000059A9" w:rsidRDefault="000059A9" w:rsidP="000059A9">
      <w:pPr>
        <w:numPr>
          <w:ilvl w:val="0"/>
          <w:numId w:val="39"/>
        </w:numPr>
      </w:pPr>
      <w:r w:rsidRPr="000059A9">
        <w:rPr>
          <w:b/>
          <w:bCs/>
        </w:rPr>
        <w:t>Largest Program Base: Southern Region</w:t>
      </w:r>
    </w:p>
    <w:p w14:paraId="42C82151" w14:textId="77777777" w:rsidR="000059A9" w:rsidRPr="000059A9" w:rsidRDefault="000059A9" w:rsidP="000059A9">
      <w:pPr>
        <w:numPr>
          <w:ilvl w:val="1"/>
          <w:numId w:val="39"/>
        </w:numPr>
      </w:pPr>
      <w:r w:rsidRPr="000059A9">
        <w:t xml:space="preserve">In both 2020 and 2024, the </w:t>
      </w:r>
      <w:r w:rsidRPr="000059A9">
        <w:rPr>
          <w:b/>
          <w:bCs/>
        </w:rPr>
        <w:t>Southern Region</w:t>
      </w:r>
      <w:r w:rsidRPr="000059A9">
        <w:t xml:space="preserve"> maintained the highest number of agricultural programs, though its growth rate was mid-to-lower range ($5.18\%$).</w:t>
      </w:r>
    </w:p>
    <w:p w14:paraId="12B2ECC8" w14:textId="77777777" w:rsidR="000059A9" w:rsidRPr="000059A9" w:rsidRDefault="000059A9" w:rsidP="000059A9">
      <w:pPr>
        <w:numPr>
          <w:ilvl w:val="0"/>
          <w:numId w:val="39"/>
        </w:numPr>
      </w:pPr>
      <w:r w:rsidRPr="000059A9">
        <w:rPr>
          <w:b/>
          <w:bCs/>
        </w:rPr>
        <w:t>Lowest Growth: Western Region</w:t>
      </w:r>
    </w:p>
    <w:p w14:paraId="75326BA7" w14:textId="77777777" w:rsidR="000059A9" w:rsidRPr="000059A9" w:rsidRDefault="000059A9" w:rsidP="000059A9">
      <w:pPr>
        <w:numPr>
          <w:ilvl w:val="1"/>
          <w:numId w:val="39"/>
        </w:numPr>
      </w:pPr>
      <w:r w:rsidRPr="000059A9">
        <w:t xml:space="preserve">The </w:t>
      </w:r>
      <w:r w:rsidRPr="000059A9">
        <w:rPr>
          <w:b/>
          <w:bCs/>
        </w:rPr>
        <w:t>Western Region</w:t>
      </w:r>
      <w:r w:rsidRPr="000059A9">
        <w:t xml:space="preserve"> had the lowest growth rate in both programs ($4.80\%$) and teachers ($8.20\%$). However, it maintains a significantly higher </w:t>
      </w:r>
      <w:r w:rsidRPr="000059A9">
        <w:rPr>
          <w:b/>
          <w:bCs/>
        </w:rPr>
        <w:t>teacher-to-program ratio</w:t>
      </w:r>
      <w:r w:rsidRPr="000059A9">
        <w:t xml:space="preserve"> (5,003 teachers for 2,294 programs in 2024, or roughly 2.18 teachers per program) </w:t>
      </w:r>
      <w:r w:rsidRPr="000059A9">
        <w:lastRenderedPageBreak/>
        <w:t xml:space="preserve">compared to other regions, indicating that its programs are generally </w:t>
      </w:r>
      <w:r w:rsidRPr="000059A9">
        <w:rPr>
          <w:b/>
          <w:bCs/>
        </w:rPr>
        <w:t>larger</w:t>
      </w:r>
      <w:r w:rsidRPr="000059A9">
        <w:t xml:space="preserve"> in size or structure.</w:t>
      </w:r>
    </w:p>
    <w:p w14:paraId="2A58CBF2" w14:textId="77777777" w:rsidR="000059A9" w:rsidRPr="000059A9" w:rsidRDefault="000059A9" w:rsidP="000059A9">
      <w:r w:rsidRPr="000059A9">
        <w:pict w14:anchorId="0786E7FB">
          <v:rect id="_x0000_i1124" style="width:0;height:1.5pt" o:hralign="center" o:hrstd="t" o:hrnoshade="t" o:hr="t" fillcolor="gray" stroked="f"/>
        </w:pict>
      </w:r>
    </w:p>
    <w:p w14:paraId="2B94DA82" w14:textId="77777777" w:rsidR="000059A9" w:rsidRPr="000059A9" w:rsidRDefault="000059A9" w:rsidP="000059A9">
      <w:pPr>
        <w:rPr>
          <w:b/>
          <w:bCs/>
        </w:rPr>
      </w:pPr>
      <w:r w:rsidRPr="000059A9">
        <w:rPr>
          <w:b/>
          <w:bCs/>
        </w:rPr>
        <w:t>Reasons for Regional Differences</w:t>
      </w:r>
    </w:p>
    <w:p w14:paraId="088F6DAB" w14:textId="77777777" w:rsidR="000059A9" w:rsidRPr="000059A9" w:rsidRDefault="000059A9" w:rsidP="000059A9">
      <w:r w:rsidRPr="000059A9">
        <w:t>The differences in size and growth are typically attributable to a combination of historical, economic, and political factors:</w:t>
      </w:r>
    </w:p>
    <w:p w14:paraId="016EF4B1" w14:textId="77777777" w:rsidR="000059A9" w:rsidRPr="000059A9" w:rsidRDefault="000059A9" w:rsidP="000059A9">
      <w:pPr>
        <w:rPr>
          <w:b/>
          <w:bCs/>
        </w:rPr>
      </w:pPr>
      <w:r w:rsidRPr="000059A9">
        <w:rPr>
          <w:b/>
          <w:bCs/>
        </w:rPr>
        <w:t>1. Economic Dependency and Tradition</w:t>
      </w:r>
    </w:p>
    <w:p w14:paraId="18ADED4A" w14:textId="77777777" w:rsidR="000059A9" w:rsidRPr="000059A9" w:rsidRDefault="000059A9" w:rsidP="000059A9">
      <w:pPr>
        <w:numPr>
          <w:ilvl w:val="0"/>
          <w:numId w:val="40"/>
        </w:numPr>
      </w:pPr>
      <w:r w:rsidRPr="000059A9">
        <w:rPr>
          <w:b/>
          <w:bCs/>
        </w:rPr>
        <w:t>Southern and Central Regions:</w:t>
      </w:r>
      <w:r w:rsidRPr="000059A9">
        <w:t xml:space="preserve"> These regions have a deep, long-standing </w:t>
      </w:r>
      <w:r w:rsidRPr="000059A9">
        <w:rPr>
          <w:b/>
          <w:bCs/>
        </w:rPr>
        <w:t>agricultural tradition</w:t>
      </w:r>
      <w:r w:rsidRPr="000059A9">
        <w:t xml:space="preserve"> and a high economic dependency on production agriculture (row crops, livestock). This history often translates into higher numbers of total programs and strong, well-established local support, leading to the largest overall program base.</w:t>
      </w:r>
    </w:p>
    <w:p w14:paraId="6374F232" w14:textId="77777777" w:rsidR="000059A9" w:rsidRPr="000059A9" w:rsidRDefault="000059A9" w:rsidP="000059A9">
      <w:pPr>
        <w:numPr>
          <w:ilvl w:val="0"/>
          <w:numId w:val="40"/>
        </w:numPr>
      </w:pPr>
      <w:r w:rsidRPr="000059A9">
        <w:rPr>
          <w:b/>
          <w:bCs/>
        </w:rPr>
        <w:t>Western Region:</w:t>
      </w:r>
      <w:r w:rsidRPr="000059A9">
        <w:t xml:space="preserve"> While encompassing large agricultural states, it also includes states with vast, sparsely populated areas or economies heavily driven by non-agricultural sectors. Its </w:t>
      </w:r>
      <w:r w:rsidRPr="000059A9">
        <w:rPr>
          <w:b/>
          <w:bCs/>
        </w:rPr>
        <w:t>larger program size (higher teacher-to-program ratio)</w:t>
      </w:r>
      <w:r w:rsidRPr="000059A9">
        <w:t xml:space="preserve"> is often necessary to serve large geographic service areas, common in Western states.</w:t>
      </w:r>
    </w:p>
    <w:p w14:paraId="187C43FE" w14:textId="77777777" w:rsidR="000059A9" w:rsidRPr="000059A9" w:rsidRDefault="000059A9" w:rsidP="000059A9">
      <w:pPr>
        <w:rPr>
          <w:b/>
          <w:bCs/>
        </w:rPr>
      </w:pPr>
      <w:r w:rsidRPr="000059A9">
        <w:rPr>
          <w:b/>
          <w:bCs/>
        </w:rPr>
        <w:t>2. State-Level Policy and Funding</w:t>
      </w:r>
    </w:p>
    <w:p w14:paraId="72491E91" w14:textId="77777777" w:rsidR="000059A9" w:rsidRPr="000059A9" w:rsidRDefault="000059A9" w:rsidP="000059A9">
      <w:pPr>
        <w:numPr>
          <w:ilvl w:val="0"/>
          <w:numId w:val="41"/>
        </w:numPr>
      </w:pPr>
      <w:r w:rsidRPr="000059A9">
        <w:rPr>
          <w:b/>
          <w:bCs/>
        </w:rPr>
        <w:t>Growth Rates (e.g., East Region):</w:t>
      </w:r>
      <w:r w:rsidRPr="000059A9">
        <w:t xml:space="preserve"> Rapid growth is often a direct result of recent </w:t>
      </w:r>
      <w:r w:rsidRPr="000059A9">
        <w:rPr>
          <w:b/>
          <w:bCs/>
        </w:rPr>
        <w:t>favorable state legislation</w:t>
      </w:r>
      <w:r w:rsidRPr="000059A9">
        <w:t xml:space="preserve"> or </w:t>
      </w:r>
      <w:r w:rsidRPr="000059A9">
        <w:rPr>
          <w:b/>
          <w:bCs/>
        </w:rPr>
        <w:t>dedicated state funding streams</w:t>
      </w:r>
      <w:r w:rsidRPr="000059A9">
        <w:t xml:space="preserve"> to support the expansion of Career and Technical Education (CTE) programs, including agriculture. A state might mandate a push to expand CTE access, leading to </w:t>
      </w:r>
      <w:proofErr w:type="gramStart"/>
      <w:r w:rsidRPr="000059A9">
        <w:t>a quick</w:t>
      </w:r>
      <w:proofErr w:type="gramEnd"/>
      <w:r w:rsidRPr="000059A9">
        <w:t xml:space="preserve"> establishment of new programs.</w:t>
      </w:r>
    </w:p>
    <w:p w14:paraId="7A26A2D3" w14:textId="77777777" w:rsidR="000059A9" w:rsidRPr="000059A9" w:rsidRDefault="000059A9" w:rsidP="000059A9">
      <w:pPr>
        <w:numPr>
          <w:ilvl w:val="0"/>
          <w:numId w:val="41"/>
        </w:numPr>
      </w:pPr>
      <w:r w:rsidRPr="000059A9">
        <w:rPr>
          <w:b/>
          <w:bCs/>
        </w:rPr>
        <w:t>Regional Investment:</w:t>
      </w:r>
      <w:r w:rsidRPr="000059A9">
        <w:t xml:space="preserve"> State funding decisions based on local industry needs (e.g., expanding programs in food science or natural resources management) can spur localized, high-rate growth that contributes to the regional trend.</w:t>
      </w:r>
    </w:p>
    <w:p w14:paraId="37416620" w14:textId="77777777" w:rsidR="000059A9" w:rsidRPr="000059A9" w:rsidRDefault="000059A9" w:rsidP="000059A9">
      <w:pPr>
        <w:rPr>
          <w:b/>
          <w:bCs/>
        </w:rPr>
      </w:pPr>
      <w:r w:rsidRPr="000059A9">
        <w:rPr>
          <w:b/>
          <w:bCs/>
        </w:rPr>
        <w:t>3. Urbanization and Program Focus</w:t>
      </w:r>
    </w:p>
    <w:p w14:paraId="62F79BA3" w14:textId="77777777" w:rsidR="000059A9" w:rsidRPr="000059A9" w:rsidRDefault="000059A9" w:rsidP="000059A9">
      <w:pPr>
        <w:numPr>
          <w:ilvl w:val="0"/>
          <w:numId w:val="42"/>
        </w:numPr>
      </w:pPr>
      <w:r w:rsidRPr="000059A9">
        <w:t>In regions experiencing rapid urbanization, agricultural education programs often shift their focus from traditional production agriculture to fields more relevant to urban economies, such as:</w:t>
      </w:r>
    </w:p>
    <w:p w14:paraId="501A9707" w14:textId="77777777" w:rsidR="000059A9" w:rsidRPr="000059A9" w:rsidRDefault="000059A9" w:rsidP="000059A9">
      <w:pPr>
        <w:numPr>
          <w:ilvl w:val="1"/>
          <w:numId w:val="42"/>
        </w:numPr>
      </w:pPr>
      <w:r w:rsidRPr="000059A9">
        <w:rPr>
          <w:b/>
          <w:bCs/>
        </w:rPr>
        <w:t>Horticulture and Landscape Design</w:t>
      </w:r>
    </w:p>
    <w:p w14:paraId="2720C714" w14:textId="77777777" w:rsidR="000059A9" w:rsidRPr="000059A9" w:rsidRDefault="000059A9" w:rsidP="000059A9">
      <w:pPr>
        <w:numPr>
          <w:ilvl w:val="1"/>
          <w:numId w:val="42"/>
        </w:numPr>
      </w:pPr>
      <w:r w:rsidRPr="000059A9">
        <w:rPr>
          <w:b/>
          <w:bCs/>
        </w:rPr>
        <w:t>Agribusiness and Marketing</w:t>
      </w:r>
    </w:p>
    <w:p w14:paraId="2F821472" w14:textId="77777777" w:rsidR="000059A9" w:rsidRPr="000059A9" w:rsidRDefault="000059A9" w:rsidP="000059A9">
      <w:pPr>
        <w:numPr>
          <w:ilvl w:val="1"/>
          <w:numId w:val="42"/>
        </w:numPr>
      </w:pPr>
      <w:r w:rsidRPr="000059A9">
        <w:rPr>
          <w:b/>
          <w:bCs/>
        </w:rPr>
        <w:t>Food Science and Technology</w:t>
      </w:r>
    </w:p>
    <w:p w14:paraId="2C572C83" w14:textId="77777777" w:rsidR="000059A9" w:rsidRPr="000059A9" w:rsidRDefault="000059A9" w:rsidP="000059A9">
      <w:pPr>
        <w:numPr>
          <w:ilvl w:val="1"/>
          <w:numId w:val="42"/>
        </w:numPr>
      </w:pPr>
      <w:r w:rsidRPr="000059A9">
        <w:rPr>
          <w:b/>
          <w:bCs/>
        </w:rPr>
        <w:t>Natural Resources and Environmental Science</w:t>
      </w:r>
    </w:p>
    <w:p w14:paraId="275361ED" w14:textId="77777777" w:rsidR="000059A9" w:rsidRPr="000059A9" w:rsidRDefault="000059A9" w:rsidP="000059A9">
      <w:r w:rsidRPr="000059A9">
        <w:lastRenderedPageBreak/>
        <w:t xml:space="preserve">This shift in focus can create opportunities for </w:t>
      </w:r>
      <w:r w:rsidRPr="000059A9">
        <w:rPr>
          <w:b/>
          <w:bCs/>
        </w:rPr>
        <w:t>program growth in non-traditional settings</w:t>
      </w:r>
      <w:r w:rsidRPr="000059A9">
        <w:t xml:space="preserve"> (urban and suburban schools), contributing to overall higher growth rates in regions like the East.</w:t>
      </w:r>
    </w:p>
    <w:p w14:paraId="44E08DC0" w14:textId="77777777" w:rsidR="000059A9" w:rsidRPr="000059A9" w:rsidRDefault="000059A9" w:rsidP="000059A9">
      <w:r w:rsidRPr="000059A9">
        <w:t>File generated for the data analysis:</w:t>
      </w:r>
    </w:p>
    <w:p w14:paraId="75AAD19E" w14:textId="77777777" w:rsidR="000059A9" w:rsidRPr="000059A9" w:rsidRDefault="000059A9" w:rsidP="000059A9">
      <w:r w:rsidRPr="000059A9">
        <w:t>The regional comparison data has been saved to a CSV file.</w:t>
      </w:r>
    </w:p>
    <w:p w14:paraId="3538968E" w14:textId="77777777" w:rsidR="000059A9" w:rsidRPr="000059A9" w:rsidRDefault="000059A9" w:rsidP="000059A9">
      <w:pPr>
        <w:numPr>
          <w:ilvl w:val="0"/>
          <w:numId w:val="43"/>
        </w:numPr>
      </w:pPr>
      <w:r w:rsidRPr="000059A9">
        <w:t>FFA_Regional_Growth_Comparison_2020_2024.csv</w:t>
      </w:r>
    </w:p>
    <w:p w14:paraId="4C843224" w14:textId="77777777" w:rsidR="000059A9" w:rsidRDefault="000059A9">
      <w:pPr>
        <w:spacing w:after="0" w:line="240" w:lineRule="auto"/>
        <w:rPr>
          <w:rFonts w:ascii="Cambria" w:hAnsi="Cambria"/>
          <w:b/>
          <w:bCs/>
        </w:rPr>
      </w:pPr>
      <w:r>
        <w:br w:type="page"/>
      </w:r>
    </w:p>
    <w:p w14:paraId="19209766" w14:textId="21080A69" w:rsidR="000059A9" w:rsidRDefault="000059A9" w:rsidP="000059A9">
      <w:pPr>
        <w:pStyle w:val="Heading3"/>
      </w:pPr>
      <w:r>
        <w:lastRenderedPageBreak/>
        <w:t xml:space="preserve">Prompt: </w:t>
      </w:r>
      <w:r w:rsidRPr="000059A9">
        <w:t>Using the attached data for secondary agricultural programs compare growth and trends to national growth and trend</w:t>
      </w:r>
      <w:r>
        <w:t>s</w:t>
      </w:r>
      <w:r w:rsidRPr="000059A9">
        <w:t xml:space="preserve"> in secondary CTE programs.</w:t>
      </w:r>
    </w:p>
    <w:p w14:paraId="3780AAA4" w14:textId="77777777" w:rsidR="000059A9" w:rsidRDefault="000059A9" w:rsidP="000059A9">
      <w:pPr>
        <w:pStyle w:val="Heading3"/>
      </w:pPr>
      <w:r>
        <w:t>Output:</w:t>
      </w:r>
    </w:p>
    <w:p w14:paraId="262B0966" w14:textId="77777777" w:rsidR="000059A9" w:rsidRPr="000059A9" w:rsidRDefault="000059A9" w:rsidP="000059A9">
      <w:r w:rsidRPr="000059A9">
        <w:t xml:space="preserve">The analysis below compares the national growth and trends in </w:t>
      </w:r>
      <w:r w:rsidRPr="000059A9">
        <w:rPr>
          <w:b/>
          <w:bCs/>
        </w:rPr>
        <w:t>secondary agricultural programs</w:t>
      </w:r>
      <w:r w:rsidRPr="000059A9">
        <w:t xml:space="preserve"> with the broader </w:t>
      </w:r>
      <w:r w:rsidRPr="000059A9">
        <w:rPr>
          <w:b/>
          <w:bCs/>
        </w:rPr>
        <w:t>secondary Career and Technical Education (CTE) landscape</w:t>
      </w:r>
      <w:r w:rsidRPr="000059A9">
        <w:t xml:space="preserve"> from 2020 to 2024.</w:t>
      </w:r>
    </w:p>
    <w:p w14:paraId="5C1457A2" w14:textId="77777777" w:rsidR="000059A9" w:rsidRPr="000059A9" w:rsidRDefault="000059A9" w:rsidP="000059A9">
      <w:r w:rsidRPr="000059A9">
        <w:pict w14:anchorId="69A55A14">
          <v:rect id="_x0000_i1107" style="width:0;height:1.5pt" o:hralign="center" o:hrstd="t" o:hrnoshade="t" o:hr="t" fillcolor="gray" stroked="f"/>
        </w:pict>
      </w:r>
    </w:p>
    <w:p w14:paraId="1372C9EE" w14:textId="77777777" w:rsidR="000059A9" w:rsidRPr="000059A9" w:rsidRDefault="000059A9" w:rsidP="000059A9">
      <w:pPr>
        <w:rPr>
          <w:b/>
          <w:bCs/>
        </w:rPr>
      </w:pPr>
      <w:r w:rsidRPr="000059A9">
        <w:rPr>
          <w:b/>
          <w:bCs/>
        </w:rPr>
        <w:t>National Secondary Agricultural Program Trends (2020–2024)</w:t>
      </w:r>
    </w:p>
    <w:p w14:paraId="35B96E67" w14:textId="77777777" w:rsidR="000059A9" w:rsidRPr="000059A9" w:rsidRDefault="000059A9" w:rsidP="000059A9">
      <w:r w:rsidRPr="000059A9">
        <w:t>The data you provided for secondary agricultural education shows consistent national growth in both the number of programs and the number of teachers between 2020 and 2024.</w:t>
      </w:r>
    </w:p>
    <w:tbl>
      <w:tblPr>
        <w:tblStyle w:val="TableGrid"/>
        <w:tblW w:w="0" w:type="auto"/>
        <w:tblLook w:val="04A0" w:firstRow="1" w:lastRow="0" w:firstColumn="1" w:lastColumn="0" w:noHBand="0" w:noVBand="1"/>
      </w:tblPr>
      <w:tblGrid>
        <w:gridCol w:w="663"/>
        <w:gridCol w:w="2197"/>
        <w:gridCol w:w="2140"/>
        <w:gridCol w:w="2203"/>
        <w:gridCol w:w="2147"/>
      </w:tblGrid>
      <w:tr w:rsidR="000059A9" w:rsidRPr="000059A9" w14:paraId="41678951" w14:textId="77777777" w:rsidTr="000059A9">
        <w:tc>
          <w:tcPr>
            <w:tcW w:w="0" w:type="auto"/>
            <w:hideMark/>
          </w:tcPr>
          <w:p w14:paraId="25CD2F13" w14:textId="77777777" w:rsidR="000059A9" w:rsidRPr="000059A9" w:rsidRDefault="000059A9" w:rsidP="000059A9">
            <w:r w:rsidRPr="000059A9">
              <w:rPr>
                <w:b/>
                <w:bCs/>
              </w:rPr>
              <w:t>Year</w:t>
            </w:r>
          </w:p>
        </w:tc>
        <w:tc>
          <w:tcPr>
            <w:tcW w:w="0" w:type="auto"/>
            <w:hideMark/>
          </w:tcPr>
          <w:p w14:paraId="4B93B495" w14:textId="77777777" w:rsidR="000059A9" w:rsidRPr="000059A9" w:rsidRDefault="000059A9" w:rsidP="000059A9">
            <w:r w:rsidRPr="000059A9">
              <w:rPr>
                <w:b/>
                <w:bCs/>
              </w:rPr>
              <w:t>National Ag Programs</w:t>
            </w:r>
          </w:p>
        </w:tc>
        <w:tc>
          <w:tcPr>
            <w:tcW w:w="0" w:type="auto"/>
            <w:hideMark/>
          </w:tcPr>
          <w:p w14:paraId="7C83994F" w14:textId="77777777" w:rsidR="000059A9" w:rsidRPr="000059A9" w:rsidRDefault="000059A9" w:rsidP="000059A9">
            <w:r w:rsidRPr="000059A9">
              <w:rPr>
                <w:b/>
                <w:bCs/>
              </w:rPr>
              <w:t>National Ag Teachers</w:t>
            </w:r>
          </w:p>
        </w:tc>
        <w:tc>
          <w:tcPr>
            <w:tcW w:w="0" w:type="auto"/>
            <w:hideMark/>
          </w:tcPr>
          <w:p w14:paraId="5F9D5C17" w14:textId="77777777" w:rsidR="000059A9" w:rsidRPr="000059A9" w:rsidRDefault="000059A9" w:rsidP="000059A9">
            <w:r w:rsidRPr="000059A9">
              <w:rPr>
                <w:b/>
                <w:bCs/>
              </w:rPr>
              <w:t>Program Growth Rate</w:t>
            </w:r>
          </w:p>
        </w:tc>
        <w:tc>
          <w:tcPr>
            <w:tcW w:w="0" w:type="auto"/>
            <w:hideMark/>
          </w:tcPr>
          <w:p w14:paraId="32E2C9E1" w14:textId="77777777" w:rsidR="000059A9" w:rsidRPr="000059A9" w:rsidRDefault="000059A9" w:rsidP="000059A9">
            <w:r w:rsidRPr="000059A9">
              <w:rPr>
                <w:b/>
                <w:bCs/>
              </w:rPr>
              <w:t>Teacher Growth Rate</w:t>
            </w:r>
          </w:p>
        </w:tc>
      </w:tr>
      <w:tr w:rsidR="000059A9" w:rsidRPr="000059A9" w14:paraId="4AD4215C" w14:textId="77777777" w:rsidTr="000059A9">
        <w:tc>
          <w:tcPr>
            <w:tcW w:w="0" w:type="auto"/>
            <w:hideMark/>
          </w:tcPr>
          <w:p w14:paraId="3C0BB454" w14:textId="77777777" w:rsidR="000059A9" w:rsidRPr="000059A9" w:rsidRDefault="000059A9" w:rsidP="000059A9">
            <w:r w:rsidRPr="000059A9">
              <w:rPr>
                <w:b/>
                <w:bCs/>
              </w:rPr>
              <w:t>2020</w:t>
            </w:r>
          </w:p>
        </w:tc>
        <w:tc>
          <w:tcPr>
            <w:tcW w:w="0" w:type="auto"/>
            <w:hideMark/>
          </w:tcPr>
          <w:p w14:paraId="2811D46E" w14:textId="77777777" w:rsidR="000059A9" w:rsidRPr="000059A9" w:rsidRDefault="000059A9" w:rsidP="000059A9">
            <w:r w:rsidRPr="000059A9">
              <w:t>9,102</w:t>
            </w:r>
          </w:p>
        </w:tc>
        <w:tc>
          <w:tcPr>
            <w:tcW w:w="0" w:type="auto"/>
            <w:hideMark/>
          </w:tcPr>
          <w:p w14:paraId="4F0F589A" w14:textId="77777777" w:rsidR="000059A9" w:rsidRPr="000059A9" w:rsidRDefault="000059A9" w:rsidP="000059A9">
            <w:r w:rsidRPr="000059A9">
              <w:t>14,116</w:t>
            </w:r>
          </w:p>
        </w:tc>
        <w:tc>
          <w:tcPr>
            <w:tcW w:w="0" w:type="auto"/>
            <w:hideMark/>
          </w:tcPr>
          <w:p w14:paraId="1AC6E137" w14:textId="77777777" w:rsidR="000059A9" w:rsidRPr="000059A9" w:rsidRDefault="000059A9" w:rsidP="000059A9">
            <w:r w:rsidRPr="000059A9">
              <w:t>N/A</w:t>
            </w:r>
          </w:p>
        </w:tc>
        <w:tc>
          <w:tcPr>
            <w:tcW w:w="0" w:type="auto"/>
            <w:hideMark/>
          </w:tcPr>
          <w:p w14:paraId="5ABAC994" w14:textId="77777777" w:rsidR="000059A9" w:rsidRPr="000059A9" w:rsidRDefault="000059A9" w:rsidP="000059A9">
            <w:r w:rsidRPr="000059A9">
              <w:t>N/A</w:t>
            </w:r>
          </w:p>
        </w:tc>
      </w:tr>
      <w:tr w:rsidR="000059A9" w:rsidRPr="000059A9" w14:paraId="02C11E2C" w14:textId="77777777" w:rsidTr="000059A9">
        <w:tc>
          <w:tcPr>
            <w:tcW w:w="0" w:type="auto"/>
            <w:hideMark/>
          </w:tcPr>
          <w:p w14:paraId="4710A428" w14:textId="77777777" w:rsidR="000059A9" w:rsidRPr="000059A9" w:rsidRDefault="000059A9" w:rsidP="000059A9">
            <w:r w:rsidRPr="000059A9">
              <w:rPr>
                <w:b/>
                <w:bCs/>
              </w:rPr>
              <w:t>2021</w:t>
            </w:r>
          </w:p>
        </w:tc>
        <w:tc>
          <w:tcPr>
            <w:tcW w:w="0" w:type="auto"/>
            <w:hideMark/>
          </w:tcPr>
          <w:p w14:paraId="64767549" w14:textId="77777777" w:rsidR="000059A9" w:rsidRPr="000059A9" w:rsidRDefault="000059A9" w:rsidP="000059A9">
            <w:r w:rsidRPr="000059A9">
              <w:t>9,151</w:t>
            </w:r>
          </w:p>
        </w:tc>
        <w:tc>
          <w:tcPr>
            <w:tcW w:w="0" w:type="auto"/>
            <w:hideMark/>
          </w:tcPr>
          <w:p w14:paraId="2F7E5ACC" w14:textId="77777777" w:rsidR="000059A9" w:rsidRPr="000059A9" w:rsidRDefault="000059A9" w:rsidP="000059A9">
            <w:r w:rsidRPr="000059A9">
              <w:t>14,438</w:t>
            </w:r>
          </w:p>
        </w:tc>
        <w:tc>
          <w:tcPr>
            <w:tcW w:w="0" w:type="auto"/>
            <w:hideMark/>
          </w:tcPr>
          <w:p w14:paraId="1D6DFF74" w14:textId="0D588EDF" w:rsidR="000059A9" w:rsidRPr="000059A9" w:rsidRDefault="000059A9" w:rsidP="000059A9">
            <w:r w:rsidRPr="000059A9">
              <w:t>0.54%</w:t>
            </w:r>
          </w:p>
        </w:tc>
        <w:tc>
          <w:tcPr>
            <w:tcW w:w="0" w:type="auto"/>
            <w:hideMark/>
          </w:tcPr>
          <w:p w14:paraId="1FEDD996" w14:textId="13F2C3B6" w:rsidR="000059A9" w:rsidRPr="000059A9" w:rsidRDefault="000059A9" w:rsidP="000059A9">
            <w:r w:rsidRPr="000059A9">
              <w:t>2.28%</w:t>
            </w:r>
          </w:p>
        </w:tc>
      </w:tr>
      <w:tr w:rsidR="000059A9" w:rsidRPr="000059A9" w14:paraId="456E2C6F" w14:textId="77777777" w:rsidTr="000059A9">
        <w:tc>
          <w:tcPr>
            <w:tcW w:w="0" w:type="auto"/>
            <w:hideMark/>
          </w:tcPr>
          <w:p w14:paraId="45AF26D2" w14:textId="77777777" w:rsidR="000059A9" w:rsidRPr="000059A9" w:rsidRDefault="000059A9" w:rsidP="000059A9">
            <w:r w:rsidRPr="000059A9">
              <w:rPr>
                <w:b/>
                <w:bCs/>
              </w:rPr>
              <w:t>2022</w:t>
            </w:r>
          </w:p>
        </w:tc>
        <w:tc>
          <w:tcPr>
            <w:tcW w:w="0" w:type="auto"/>
            <w:hideMark/>
          </w:tcPr>
          <w:p w14:paraId="6B711FE7" w14:textId="77777777" w:rsidR="000059A9" w:rsidRPr="000059A9" w:rsidRDefault="000059A9" w:rsidP="000059A9">
            <w:r w:rsidRPr="000059A9">
              <w:t>9,297</w:t>
            </w:r>
          </w:p>
        </w:tc>
        <w:tc>
          <w:tcPr>
            <w:tcW w:w="0" w:type="auto"/>
            <w:hideMark/>
          </w:tcPr>
          <w:p w14:paraId="6DE1DB0C" w14:textId="77777777" w:rsidR="000059A9" w:rsidRPr="000059A9" w:rsidRDefault="000059A9" w:rsidP="000059A9">
            <w:r w:rsidRPr="000059A9">
              <w:t>14,878</w:t>
            </w:r>
          </w:p>
        </w:tc>
        <w:tc>
          <w:tcPr>
            <w:tcW w:w="0" w:type="auto"/>
            <w:hideMark/>
          </w:tcPr>
          <w:p w14:paraId="0C9D5E90" w14:textId="75CDEF88" w:rsidR="000059A9" w:rsidRPr="000059A9" w:rsidRDefault="000059A9" w:rsidP="000059A9">
            <w:r w:rsidRPr="000059A9">
              <w:t>1.60%</w:t>
            </w:r>
          </w:p>
        </w:tc>
        <w:tc>
          <w:tcPr>
            <w:tcW w:w="0" w:type="auto"/>
            <w:hideMark/>
          </w:tcPr>
          <w:p w14:paraId="0C416FE4" w14:textId="77D2B3CE" w:rsidR="000059A9" w:rsidRPr="000059A9" w:rsidRDefault="000059A9" w:rsidP="000059A9">
            <w:r w:rsidRPr="000059A9">
              <w:t>3.05%</w:t>
            </w:r>
          </w:p>
        </w:tc>
      </w:tr>
      <w:tr w:rsidR="000059A9" w:rsidRPr="000059A9" w14:paraId="0458E720" w14:textId="77777777" w:rsidTr="000059A9">
        <w:tc>
          <w:tcPr>
            <w:tcW w:w="0" w:type="auto"/>
            <w:hideMark/>
          </w:tcPr>
          <w:p w14:paraId="2EAB776A" w14:textId="77777777" w:rsidR="000059A9" w:rsidRPr="000059A9" w:rsidRDefault="000059A9" w:rsidP="000059A9">
            <w:r w:rsidRPr="000059A9">
              <w:rPr>
                <w:b/>
                <w:bCs/>
              </w:rPr>
              <w:t>2023</w:t>
            </w:r>
          </w:p>
        </w:tc>
        <w:tc>
          <w:tcPr>
            <w:tcW w:w="0" w:type="auto"/>
            <w:hideMark/>
          </w:tcPr>
          <w:p w14:paraId="0310F63A" w14:textId="77777777" w:rsidR="000059A9" w:rsidRPr="000059A9" w:rsidRDefault="000059A9" w:rsidP="000059A9">
            <w:r w:rsidRPr="000059A9">
              <w:t>9,507</w:t>
            </w:r>
          </w:p>
        </w:tc>
        <w:tc>
          <w:tcPr>
            <w:tcW w:w="0" w:type="auto"/>
            <w:hideMark/>
          </w:tcPr>
          <w:p w14:paraId="3CC2C4F2" w14:textId="77777777" w:rsidR="000059A9" w:rsidRPr="000059A9" w:rsidRDefault="000059A9" w:rsidP="000059A9">
            <w:r w:rsidRPr="000059A9">
              <w:t>15,219</w:t>
            </w:r>
          </w:p>
        </w:tc>
        <w:tc>
          <w:tcPr>
            <w:tcW w:w="0" w:type="auto"/>
            <w:hideMark/>
          </w:tcPr>
          <w:p w14:paraId="170A4266" w14:textId="63BABC2F" w:rsidR="000059A9" w:rsidRPr="000059A9" w:rsidRDefault="000059A9" w:rsidP="000059A9">
            <w:r w:rsidRPr="000059A9">
              <w:t>2.26%</w:t>
            </w:r>
          </w:p>
        </w:tc>
        <w:tc>
          <w:tcPr>
            <w:tcW w:w="0" w:type="auto"/>
            <w:hideMark/>
          </w:tcPr>
          <w:p w14:paraId="7FA1FC4C" w14:textId="1FCCBD62" w:rsidR="000059A9" w:rsidRPr="000059A9" w:rsidRDefault="000059A9" w:rsidP="000059A9">
            <w:r w:rsidRPr="000059A9">
              <w:t>2.29%</w:t>
            </w:r>
          </w:p>
        </w:tc>
      </w:tr>
      <w:tr w:rsidR="000059A9" w:rsidRPr="000059A9" w14:paraId="23B10E71" w14:textId="77777777" w:rsidTr="000059A9">
        <w:tc>
          <w:tcPr>
            <w:tcW w:w="0" w:type="auto"/>
            <w:hideMark/>
          </w:tcPr>
          <w:p w14:paraId="61A75F4F" w14:textId="77777777" w:rsidR="000059A9" w:rsidRPr="000059A9" w:rsidRDefault="000059A9" w:rsidP="000059A9">
            <w:r w:rsidRPr="000059A9">
              <w:rPr>
                <w:b/>
                <w:bCs/>
              </w:rPr>
              <w:t>2024</w:t>
            </w:r>
          </w:p>
        </w:tc>
        <w:tc>
          <w:tcPr>
            <w:tcW w:w="0" w:type="auto"/>
            <w:hideMark/>
          </w:tcPr>
          <w:p w14:paraId="6D004BBD" w14:textId="77777777" w:rsidR="000059A9" w:rsidRPr="000059A9" w:rsidRDefault="000059A9" w:rsidP="000059A9">
            <w:r w:rsidRPr="000059A9">
              <w:t>9,653</w:t>
            </w:r>
          </w:p>
        </w:tc>
        <w:tc>
          <w:tcPr>
            <w:tcW w:w="0" w:type="auto"/>
            <w:hideMark/>
          </w:tcPr>
          <w:p w14:paraId="3F667D08" w14:textId="77777777" w:rsidR="000059A9" w:rsidRPr="000059A9" w:rsidRDefault="000059A9" w:rsidP="000059A9">
            <w:r w:rsidRPr="000059A9">
              <w:t>15,634</w:t>
            </w:r>
          </w:p>
        </w:tc>
        <w:tc>
          <w:tcPr>
            <w:tcW w:w="0" w:type="auto"/>
            <w:hideMark/>
          </w:tcPr>
          <w:p w14:paraId="59D780FC" w14:textId="77777777" w:rsidR="000059A9" w:rsidRPr="000059A9" w:rsidRDefault="000059A9" w:rsidP="000059A9">
            <w:r w:rsidRPr="000059A9">
              <w:t>$1.54\%$</w:t>
            </w:r>
          </w:p>
        </w:tc>
        <w:tc>
          <w:tcPr>
            <w:tcW w:w="0" w:type="auto"/>
            <w:hideMark/>
          </w:tcPr>
          <w:p w14:paraId="3B7C1EA9" w14:textId="77777777" w:rsidR="000059A9" w:rsidRPr="000059A9" w:rsidRDefault="000059A9" w:rsidP="000059A9">
            <w:r w:rsidRPr="000059A9">
              <w:t>$2.73\%$</w:t>
            </w:r>
          </w:p>
        </w:tc>
      </w:tr>
    </w:tbl>
    <w:p w14:paraId="5A83BEBF" w14:textId="77777777" w:rsidR="000059A9" w:rsidRPr="000059A9" w:rsidRDefault="000059A9" w:rsidP="000059A9">
      <w:pPr>
        <w:numPr>
          <w:ilvl w:val="0"/>
          <w:numId w:val="34"/>
        </w:numPr>
      </w:pPr>
      <w:r w:rsidRPr="000059A9">
        <w:rPr>
          <w:b/>
          <w:bCs/>
        </w:rPr>
        <w:t>Total Growth (2020–2024):</w:t>
      </w:r>
    </w:p>
    <w:p w14:paraId="0B3979FC" w14:textId="77777777" w:rsidR="000059A9" w:rsidRPr="000059A9" w:rsidRDefault="000059A9" w:rsidP="000059A9">
      <w:pPr>
        <w:numPr>
          <w:ilvl w:val="1"/>
          <w:numId w:val="34"/>
        </w:numPr>
      </w:pPr>
      <w:r w:rsidRPr="000059A9">
        <w:rPr>
          <w:b/>
          <w:bCs/>
        </w:rPr>
        <w:t>Programs:</w:t>
      </w:r>
      <w:r w:rsidRPr="000059A9">
        <w:t xml:space="preserve"> Increased by </w:t>
      </w:r>
      <w:r w:rsidRPr="000059A9">
        <w:rPr>
          <w:b/>
          <w:bCs/>
        </w:rPr>
        <w:t>551</w:t>
      </w:r>
      <w:r w:rsidRPr="000059A9">
        <w:t xml:space="preserve"> (a total growth of approximately </w:t>
      </w:r>
      <w:r w:rsidRPr="000059A9">
        <w:rPr>
          <w:b/>
          <w:bCs/>
        </w:rPr>
        <w:t>$6.05\%$</w:t>
      </w:r>
      <w:r w:rsidRPr="000059A9">
        <w:t>).</w:t>
      </w:r>
    </w:p>
    <w:p w14:paraId="37096ECC" w14:textId="77777777" w:rsidR="000059A9" w:rsidRPr="000059A9" w:rsidRDefault="000059A9" w:rsidP="000059A9">
      <w:pPr>
        <w:numPr>
          <w:ilvl w:val="1"/>
          <w:numId w:val="34"/>
        </w:numPr>
      </w:pPr>
      <w:r w:rsidRPr="000059A9">
        <w:rPr>
          <w:b/>
          <w:bCs/>
        </w:rPr>
        <w:t>Teachers:</w:t>
      </w:r>
      <w:r w:rsidRPr="000059A9">
        <w:t xml:space="preserve"> Increased by </w:t>
      </w:r>
      <w:r w:rsidRPr="000059A9">
        <w:rPr>
          <w:b/>
          <w:bCs/>
        </w:rPr>
        <w:t>1,518</w:t>
      </w:r>
      <w:r w:rsidRPr="000059A9">
        <w:t xml:space="preserve"> (a total growth of approximately </w:t>
      </w:r>
      <w:r w:rsidRPr="000059A9">
        <w:rPr>
          <w:b/>
          <w:bCs/>
        </w:rPr>
        <w:t>$10.75\%$</w:t>
      </w:r>
      <w:r w:rsidRPr="000059A9">
        <w:t>).</w:t>
      </w:r>
    </w:p>
    <w:p w14:paraId="7FEC4F10" w14:textId="77777777" w:rsidR="000059A9" w:rsidRPr="000059A9" w:rsidRDefault="000059A9" w:rsidP="000059A9">
      <w:pPr>
        <w:numPr>
          <w:ilvl w:val="0"/>
          <w:numId w:val="34"/>
        </w:numPr>
      </w:pPr>
      <w:r w:rsidRPr="000059A9">
        <w:rPr>
          <w:b/>
          <w:bCs/>
        </w:rPr>
        <w:t>Key Trend:</w:t>
      </w:r>
      <w:r w:rsidRPr="000059A9">
        <w:t xml:space="preserve"> The growth rate for </w:t>
      </w:r>
      <w:r w:rsidRPr="000059A9">
        <w:rPr>
          <w:b/>
          <w:bCs/>
        </w:rPr>
        <w:t>teachers</w:t>
      </w:r>
      <w:r w:rsidRPr="000059A9">
        <w:t xml:space="preserve"> has been consistently higher than the growth rate for </w:t>
      </w:r>
      <w:r w:rsidRPr="000059A9">
        <w:rPr>
          <w:b/>
          <w:bCs/>
        </w:rPr>
        <w:t>programs</w:t>
      </w:r>
      <w:r w:rsidRPr="000059A9">
        <w:t>, suggesting an increase in the number of teachers per program or the establishment of larger programs over the four-year period.</w:t>
      </w:r>
    </w:p>
    <w:p w14:paraId="27A2198B" w14:textId="77777777" w:rsidR="000059A9" w:rsidRPr="000059A9" w:rsidRDefault="000059A9" w:rsidP="000059A9">
      <w:pPr>
        <w:numPr>
          <w:ilvl w:val="0"/>
          <w:numId w:val="34"/>
        </w:numPr>
      </w:pPr>
      <w:r w:rsidRPr="000059A9">
        <w:rPr>
          <w:b/>
          <w:bCs/>
        </w:rPr>
        <w:t>Peak Growth:</w:t>
      </w:r>
      <w:r w:rsidRPr="000059A9">
        <w:t xml:space="preserve"> The largest single-year percentage growth for both programs and teachers occurred between </w:t>
      </w:r>
      <w:r w:rsidRPr="000059A9">
        <w:rPr>
          <w:b/>
          <w:bCs/>
        </w:rPr>
        <w:t>2022 and 2023</w:t>
      </w:r>
      <w:r w:rsidRPr="000059A9">
        <w:t>, with programs increasing by $2.26\%$ and teachers by $2.29\%$.</w:t>
      </w:r>
    </w:p>
    <w:p w14:paraId="10BA9F5F" w14:textId="77777777" w:rsidR="000059A9" w:rsidRPr="000059A9" w:rsidRDefault="000059A9" w:rsidP="000059A9">
      <w:r w:rsidRPr="000059A9">
        <w:pict w14:anchorId="077DA482">
          <v:rect id="_x0000_i1108" style="width:0;height:1.5pt" o:hralign="center" o:hrstd="t" o:hrnoshade="t" o:hr="t" fillcolor="gray" stroked="f"/>
        </w:pict>
      </w:r>
    </w:p>
    <w:p w14:paraId="6280C9FD" w14:textId="77777777" w:rsidR="000059A9" w:rsidRPr="000059A9" w:rsidRDefault="000059A9" w:rsidP="000059A9">
      <w:pPr>
        <w:rPr>
          <w:b/>
          <w:bCs/>
        </w:rPr>
      </w:pPr>
      <w:r w:rsidRPr="000059A9">
        <w:rPr>
          <w:b/>
          <w:bCs/>
        </w:rPr>
        <w:t xml:space="preserve">Comparison </w:t>
      </w:r>
      <w:proofErr w:type="gramStart"/>
      <w:r w:rsidRPr="000059A9">
        <w:rPr>
          <w:b/>
          <w:bCs/>
        </w:rPr>
        <w:t>to</w:t>
      </w:r>
      <w:proofErr w:type="gramEnd"/>
      <w:r w:rsidRPr="000059A9">
        <w:rPr>
          <w:b/>
          <w:bCs/>
        </w:rPr>
        <w:t xml:space="preserve"> National Secondary CTE Trends</w:t>
      </w:r>
    </w:p>
    <w:p w14:paraId="01D1DDE2" w14:textId="77777777" w:rsidR="000059A9" w:rsidRPr="000059A9" w:rsidRDefault="000059A9" w:rsidP="000059A9">
      <w:r w:rsidRPr="000059A9">
        <w:t xml:space="preserve">The data for secondary agricultural programs aligns with and contributes to the general </w:t>
      </w:r>
      <w:r w:rsidRPr="000059A9">
        <w:rPr>
          <w:b/>
          <w:bCs/>
        </w:rPr>
        <w:t>resurgence and growth</w:t>
      </w:r>
      <w:r w:rsidRPr="000059A9">
        <w:t xml:space="preserve"> seen across the broader national secondary CTE landscape during this period.</w:t>
      </w:r>
    </w:p>
    <w:p w14:paraId="6B39DAF3" w14:textId="77777777" w:rsidR="000059A9" w:rsidRPr="000059A9" w:rsidRDefault="000059A9" w:rsidP="000059A9">
      <w:pPr>
        <w:rPr>
          <w:b/>
          <w:bCs/>
        </w:rPr>
      </w:pPr>
      <w:r w:rsidRPr="000059A9">
        <w:rPr>
          <w:b/>
          <w:bCs/>
        </w:rPr>
        <w:lastRenderedPageBreak/>
        <w:t>1. Overall Growth and Popularity</w:t>
      </w:r>
    </w:p>
    <w:p w14:paraId="259190CC" w14:textId="77777777" w:rsidR="000059A9" w:rsidRPr="000059A9" w:rsidRDefault="000059A9" w:rsidP="000059A9">
      <w:pPr>
        <w:numPr>
          <w:ilvl w:val="0"/>
          <w:numId w:val="35"/>
        </w:numPr>
      </w:pPr>
      <w:r w:rsidRPr="000059A9">
        <w:rPr>
          <w:b/>
          <w:bCs/>
        </w:rPr>
        <w:t>Agricultural Programs:</w:t>
      </w:r>
      <w:r w:rsidRPr="000059A9">
        <w:t xml:space="preserve"> Experienced clear, consistent growth in both programs and teachers annually from 2020 to 2024.</w:t>
      </w:r>
    </w:p>
    <w:p w14:paraId="5C6C9788" w14:textId="77777777" w:rsidR="000059A9" w:rsidRPr="000059A9" w:rsidRDefault="000059A9" w:rsidP="000059A9">
      <w:pPr>
        <w:numPr>
          <w:ilvl w:val="0"/>
          <w:numId w:val="35"/>
        </w:numPr>
      </w:pPr>
      <w:r w:rsidRPr="000059A9">
        <w:rPr>
          <w:b/>
          <w:bCs/>
        </w:rPr>
        <w:t>General CTE:</w:t>
      </w:r>
      <w:r w:rsidRPr="000059A9">
        <w:t xml:space="preserve"> National trends indicate a </w:t>
      </w:r>
      <w:r w:rsidRPr="000059A9">
        <w:rPr>
          <w:b/>
          <w:bCs/>
        </w:rPr>
        <w:t>sharp rise in student interest and enrollment</w:t>
      </w:r>
      <w:r w:rsidRPr="000059A9">
        <w:t xml:space="preserve"> in CTE courses, with an overwhelming majority (85% in 2019) of high school graduates having earned at least one CTE credit. The growth in agricultural programs is part of this larger trend of increasing student engagement with career pathways.</w:t>
      </w:r>
    </w:p>
    <w:p w14:paraId="4CFE29CD" w14:textId="77777777" w:rsidR="000059A9" w:rsidRPr="000059A9" w:rsidRDefault="000059A9" w:rsidP="000059A9">
      <w:pPr>
        <w:rPr>
          <w:b/>
          <w:bCs/>
        </w:rPr>
      </w:pPr>
      <w:r w:rsidRPr="000059A9">
        <w:rPr>
          <w:b/>
          <w:bCs/>
        </w:rPr>
        <w:t>2. Policy and Funding Support</w:t>
      </w:r>
    </w:p>
    <w:p w14:paraId="4D967ECE" w14:textId="77777777" w:rsidR="000059A9" w:rsidRPr="000059A9" w:rsidRDefault="000059A9" w:rsidP="000059A9">
      <w:pPr>
        <w:numPr>
          <w:ilvl w:val="0"/>
          <w:numId w:val="36"/>
        </w:numPr>
      </w:pPr>
      <w:r w:rsidRPr="000059A9">
        <w:rPr>
          <w:b/>
          <w:bCs/>
        </w:rPr>
        <w:t>Agricultural Programs:</w:t>
      </w:r>
      <w:r w:rsidRPr="000059A9">
        <w:t xml:space="preserve"> The consistent growth in programs and teachers suggests successful state-level and local support, which is critical since agricultural education, like all CTE, is heavily reliant on federal funding via the </w:t>
      </w:r>
      <w:r w:rsidRPr="000059A9">
        <w:rPr>
          <w:b/>
          <w:bCs/>
        </w:rPr>
        <w:t>Carl D. Perkins Career and Technical Education Act (Perkins V)</w:t>
      </w:r>
      <w:r w:rsidRPr="000059A9">
        <w:t>.</w:t>
      </w:r>
    </w:p>
    <w:p w14:paraId="218B7CCE" w14:textId="77777777" w:rsidR="000059A9" w:rsidRPr="000059A9" w:rsidRDefault="000059A9" w:rsidP="000059A9">
      <w:pPr>
        <w:numPr>
          <w:ilvl w:val="0"/>
          <w:numId w:val="36"/>
        </w:numPr>
      </w:pPr>
      <w:r w:rsidRPr="000059A9">
        <w:rPr>
          <w:b/>
          <w:bCs/>
        </w:rPr>
        <w:t>General CTE:</w:t>
      </w:r>
      <w:r w:rsidRPr="000059A9">
        <w:t xml:space="preserve"> Policy activity supporting CTE has seen a </w:t>
      </w:r>
      <w:r w:rsidRPr="000059A9">
        <w:rPr>
          <w:b/>
          <w:bCs/>
        </w:rPr>
        <w:t>resurgence</w:t>
      </w:r>
      <w:r w:rsidRPr="000059A9">
        <w:t xml:space="preserve">, with 40 states enacting 152 CTE-related policies in a recent year (2024), reflecting a return to pre-pandemic commitment. The </w:t>
      </w:r>
      <w:r w:rsidRPr="000059A9">
        <w:rPr>
          <w:b/>
          <w:bCs/>
        </w:rPr>
        <w:t>policy lever most enacted was funding</w:t>
      </w:r>
      <w:r w:rsidRPr="000059A9">
        <w:t>, which likely provides the resources needed for both agricultural and other CTE programs to expand and hire new staff.</w:t>
      </w:r>
    </w:p>
    <w:p w14:paraId="7F3FA7C0" w14:textId="77777777" w:rsidR="000059A9" w:rsidRPr="000059A9" w:rsidRDefault="000059A9" w:rsidP="000059A9">
      <w:pPr>
        <w:rPr>
          <w:b/>
          <w:bCs/>
        </w:rPr>
      </w:pPr>
      <w:r w:rsidRPr="000059A9">
        <w:rPr>
          <w:b/>
          <w:bCs/>
        </w:rPr>
        <w:t>3. Teacher Recruitment Challenges</w:t>
      </w:r>
    </w:p>
    <w:p w14:paraId="48136470" w14:textId="77777777" w:rsidR="000059A9" w:rsidRPr="000059A9" w:rsidRDefault="000059A9" w:rsidP="000059A9">
      <w:pPr>
        <w:numPr>
          <w:ilvl w:val="0"/>
          <w:numId w:val="37"/>
        </w:numPr>
      </w:pPr>
      <w:r w:rsidRPr="000059A9">
        <w:rPr>
          <w:b/>
          <w:bCs/>
        </w:rPr>
        <w:t>Agricultural Teachers:</w:t>
      </w:r>
      <w:r w:rsidRPr="000059A9">
        <w:t xml:space="preserve"> The high annual growth rate in teachers ($2.28\%$ to $3.05\%$) shows that the field has been successful in adding staff to meet demand. However, the slightly faster growth of teachers compared to programs suggests an effort to staff existing programs better or a potential recognition of the need for smaller class sizes/more specialized instruction.</w:t>
      </w:r>
    </w:p>
    <w:p w14:paraId="2B0107E9" w14:textId="77777777" w:rsidR="000059A9" w:rsidRPr="000059A9" w:rsidRDefault="000059A9" w:rsidP="000059A9">
      <w:pPr>
        <w:numPr>
          <w:ilvl w:val="0"/>
          <w:numId w:val="37"/>
        </w:numPr>
      </w:pPr>
      <w:r w:rsidRPr="000059A9">
        <w:rPr>
          <w:b/>
          <w:bCs/>
        </w:rPr>
        <w:t>General CTE:</w:t>
      </w:r>
      <w:r w:rsidRPr="000059A9">
        <w:t xml:space="preserve"> Despite the growth in programs, a major national challenge for all CTE fields has been a </w:t>
      </w:r>
      <w:r w:rsidRPr="000059A9">
        <w:rPr>
          <w:b/>
          <w:bCs/>
        </w:rPr>
        <w:t>severe teacher shortage</w:t>
      </w:r>
      <w:r w:rsidRPr="000059A9">
        <w:t xml:space="preserve">. In 2020–2021, </w:t>
      </w:r>
      <w:r w:rsidRPr="000059A9">
        <w:rPr>
          <w:b/>
          <w:bCs/>
        </w:rPr>
        <w:t>31% of public schools had difficulty filling CTE teaching positions</w:t>
      </w:r>
      <w:r w:rsidRPr="000059A9">
        <w:t>. The national challenge lies in competing with industry employers for skilled professionals who can teach, a hurdle that agricultural education likely also faces but appears to be navigating well based on its positive teacher growth rates.</w:t>
      </w:r>
    </w:p>
    <w:p w14:paraId="61994CB6" w14:textId="77777777" w:rsidR="000059A9" w:rsidRPr="000059A9" w:rsidRDefault="000059A9" w:rsidP="000059A9">
      <w:r w:rsidRPr="000059A9">
        <w:t xml:space="preserve">In summary, the growth in </w:t>
      </w:r>
      <w:r w:rsidRPr="000059A9">
        <w:rPr>
          <w:b/>
          <w:bCs/>
        </w:rPr>
        <w:t>secondary agricultural education</w:t>
      </w:r>
      <w:r w:rsidRPr="000059A9">
        <w:t xml:space="preserve"> programs and teachers from 2020 to 2024 is </w:t>
      </w:r>
      <w:r w:rsidRPr="000059A9">
        <w:rPr>
          <w:b/>
          <w:bCs/>
        </w:rPr>
        <w:t>robust and positive</w:t>
      </w:r>
      <w:r w:rsidRPr="000059A9">
        <w:t xml:space="preserve">, mirroring the </w:t>
      </w:r>
      <w:r w:rsidRPr="000059A9">
        <w:rPr>
          <w:b/>
          <w:bCs/>
        </w:rPr>
        <w:t>rising popularity and policy prioritization of Career and Technical Education</w:t>
      </w:r>
      <w:r w:rsidRPr="000059A9">
        <w:t xml:space="preserve"> at the national level.</w:t>
      </w:r>
    </w:p>
    <w:p w14:paraId="5120BE81" w14:textId="77777777" w:rsidR="000059A9" w:rsidRPr="000059A9" w:rsidRDefault="000059A9" w:rsidP="000059A9">
      <w:r w:rsidRPr="000059A9">
        <w:t>File generated for the data analysis:</w:t>
      </w:r>
    </w:p>
    <w:p w14:paraId="70393347" w14:textId="77777777" w:rsidR="000059A9" w:rsidRPr="000059A9" w:rsidRDefault="000059A9" w:rsidP="000059A9">
      <w:r w:rsidRPr="000059A9">
        <w:t>The calculated national totals and growth rates for secondary agricultural programs have been saved to a CSV file.</w:t>
      </w:r>
    </w:p>
    <w:p w14:paraId="5D711185" w14:textId="77777777" w:rsidR="000059A9" w:rsidRPr="000059A9" w:rsidRDefault="000059A9" w:rsidP="000059A9">
      <w:pPr>
        <w:numPr>
          <w:ilvl w:val="0"/>
          <w:numId w:val="38"/>
        </w:numPr>
      </w:pPr>
      <w:r w:rsidRPr="000059A9">
        <w:t>National_Ag_Programs_and_Teachers_Trends_2020_2024.csv</w:t>
      </w:r>
    </w:p>
    <w:p w14:paraId="49376A94" w14:textId="77777777" w:rsidR="000059A9" w:rsidRPr="000059A9" w:rsidRDefault="000059A9" w:rsidP="000059A9"/>
    <w:p w14:paraId="1D0336F8" w14:textId="6DA6EA8A" w:rsidR="00497633" w:rsidRDefault="00497633">
      <w:pPr>
        <w:spacing w:after="0" w:line="240" w:lineRule="auto"/>
        <w:rPr>
          <w:rFonts w:ascii="Cambria" w:hAnsi="Cambria"/>
          <w:b/>
          <w:bCs/>
          <w:sz w:val="26"/>
          <w:szCs w:val="26"/>
        </w:rPr>
      </w:pPr>
      <w:r>
        <w:br w:type="page"/>
      </w:r>
    </w:p>
    <w:p w14:paraId="1B762127" w14:textId="7368F81C" w:rsidR="004F263A" w:rsidRDefault="00497633" w:rsidP="00497633">
      <w:pPr>
        <w:pStyle w:val="Heading2"/>
      </w:pPr>
      <w:r>
        <w:lastRenderedPageBreak/>
        <w:t xml:space="preserve">ChatGPT </w:t>
      </w:r>
    </w:p>
    <w:p w14:paraId="7486B022" w14:textId="758DEB58" w:rsidR="00497633" w:rsidRDefault="00497633" w:rsidP="00497633">
      <w:pPr>
        <w:pStyle w:val="Heading3"/>
      </w:pPr>
      <w:r>
        <w:t xml:space="preserve">Prompt: </w:t>
      </w:r>
      <w:r w:rsidRPr="00497633">
        <w:t xml:space="preserve">Using the attached data what is the national trend of </w:t>
      </w:r>
      <w:proofErr w:type="spellStart"/>
      <w:r w:rsidRPr="00497633">
        <w:t>total_teachers</w:t>
      </w:r>
      <w:proofErr w:type="spellEnd"/>
      <w:r w:rsidRPr="00497633">
        <w:t>? What states show the most growth and what states show the least growth? How many teachers can be predicted for 2025, 2026, and 2027?</w:t>
      </w:r>
    </w:p>
    <w:p w14:paraId="3CD7716C" w14:textId="3947FC71" w:rsidR="00497633" w:rsidRDefault="00497633" w:rsidP="00497633">
      <w:pPr>
        <w:pStyle w:val="Heading3"/>
      </w:pPr>
      <w:r>
        <w:t>Output:</w:t>
      </w:r>
    </w:p>
    <w:p w14:paraId="4BCAC4B4" w14:textId="77777777" w:rsidR="00497633" w:rsidRPr="00497633" w:rsidRDefault="00497633" w:rsidP="00497633">
      <w:r w:rsidRPr="00497633">
        <w:t xml:space="preserve">Here’s what the data show about </w:t>
      </w:r>
      <w:r w:rsidRPr="00497633">
        <w:rPr>
          <w:b/>
          <w:bCs/>
        </w:rPr>
        <w:t>total teachers nationally and by state</w:t>
      </w:r>
      <w:r w:rsidRPr="00497633">
        <w:t>:</w:t>
      </w:r>
    </w:p>
    <w:p w14:paraId="3CE8FDF0" w14:textId="77777777" w:rsidR="00497633" w:rsidRPr="00497633" w:rsidRDefault="00497633" w:rsidP="00497633">
      <w:r w:rsidRPr="00497633">
        <w:pict w14:anchorId="258FFEFE">
          <v:rect id="_x0000_i1085" style="width:0;height:1.5pt" o:hralign="center" o:hrstd="t" o:hr="t" fillcolor="#a0a0a0" stroked="f"/>
        </w:pict>
      </w:r>
    </w:p>
    <w:p w14:paraId="5162C424" w14:textId="77777777" w:rsidR="00497633" w:rsidRPr="00497633" w:rsidRDefault="00497633" w:rsidP="00497633">
      <w:pPr>
        <w:rPr>
          <w:b/>
          <w:bCs/>
        </w:rPr>
      </w:pPr>
      <w:r w:rsidRPr="00497633">
        <w:rPr>
          <w:rFonts w:ascii="Segoe UI Emoji" w:hAnsi="Segoe UI Emoji" w:cs="Segoe UI Emoji"/>
          <w:b/>
          <w:bCs/>
        </w:rPr>
        <w:t>📈</w:t>
      </w:r>
      <w:r w:rsidRPr="00497633">
        <w:rPr>
          <w:b/>
          <w:bCs/>
        </w:rPr>
        <w:t xml:space="preserve"> National Trend (Total Teachers)</w:t>
      </w:r>
    </w:p>
    <w:tbl>
      <w:tblPr>
        <w:tblStyle w:val="TableGrid"/>
        <w:tblW w:w="0" w:type="auto"/>
        <w:tblLook w:val="04A0" w:firstRow="1" w:lastRow="0" w:firstColumn="1" w:lastColumn="0" w:noHBand="0" w:noVBand="1"/>
      </w:tblPr>
      <w:tblGrid>
        <w:gridCol w:w="663"/>
        <w:gridCol w:w="1547"/>
      </w:tblGrid>
      <w:tr w:rsidR="00497633" w:rsidRPr="00497633" w14:paraId="7373A11C" w14:textId="77777777" w:rsidTr="00497633">
        <w:tc>
          <w:tcPr>
            <w:tcW w:w="0" w:type="auto"/>
            <w:hideMark/>
          </w:tcPr>
          <w:p w14:paraId="550B7EC1" w14:textId="77777777" w:rsidR="00497633" w:rsidRPr="00497633" w:rsidRDefault="00497633" w:rsidP="00497633">
            <w:pPr>
              <w:rPr>
                <w:b/>
                <w:bCs/>
              </w:rPr>
            </w:pPr>
            <w:r w:rsidRPr="00497633">
              <w:rPr>
                <w:b/>
                <w:bCs/>
              </w:rPr>
              <w:t>Year</w:t>
            </w:r>
          </w:p>
        </w:tc>
        <w:tc>
          <w:tcPr>
            <w:tcW w:w="0" w:type="auto"/>
            <w:hideMark/>
          </w:tcPr>
          <w:p w14:paraId="350A9E9C" w14:textId="77777777" w:rsidR="00497633" w:rsidRPr="00497633" w:rsidRDefault="00497633" w:rsidP="00497633">
            <w:pPr>
              <w:rPr>
                <w:b/>
                <w:bCs/>
              </w:rPr>
            </w:pPr>
            <w:r w:rsidRPr="00497633">
              <w:rPr>
                <w:b/>
                <w:bCs/>
              </w:rPr>
              <w:t>Total Teachers</w:t>
            </w:r>
          </w:p>
        </w:tc>
      </w:tr>
      <w:tr w:rsidR="00497633" w:rsidRPr="00497633" w14:paraId="7736F785" w14:textId="77777777" w:rsidTr="00497633">
        <w:tc>
          <w:tcPr>
            <w:tcW w:w="0" w:type="auto"/>
            <w:hideMark/>
          </w:tcPr>
          <w:p w14:paraId="35F8923A" w14:textId="77777777" w:rsidR="00497633" w:rsidRPr="00497633" w:rsidRDefault="00497633" w:rsidP="00497633">
            <w:r w:rsidRPr="00497633">
              <w:t>2020</w:t>
            </w:r>
          </w:p>
        </w:tc>
        <w:tc>
          <w:tcPr>
            <w:tcW w:w="0" w:type="auto"/>
            <w:hideMark/>
          </w:tcPr>
          <w:p w14:paraId="1C0E9A02" w14:textId="77777777" w:rsidR="00497633" w:rsidRPr="00497633" w:rsidRDefault="00497633" w:rsidP="00497633">
            <w:r w:rsidRPr="00497633">
              <w:t>13,254</w:t>
            </w:r>
          </w:p>
        </w:tc>
      </w:tr>
      <w:tr w:rsidR="00497633" w:rsidRPr="00497633" w14:paraId="1281B4E3" w14:textId="77777777" w:rsidTr="00497633">
        <w:tc>
          <w:tcPr>
            <w:tcW w:w="0" w:type="auto"/>
            <w:hideMark/>
          </w:tcPr>
          <w:p w14:paraId="12C29D62" w14:textId="77777777" w:rsidR="00497633" w:rsidRPr="00497633" w:rsidRDefault="00497633" w:rsidP="00497633">
            <w:r w:rsidRPr="00497633">
              <w:t>2021</w:t>
            </w:r>
          </w:p>
        </w:tc>
        <w:tc>
          <w:tcPr>
            <w:tcW w:w="0" w:type="auto"/>
            <w:hideMark/>
          </w:tcPr>
          <w:p w14:paraId="4F1C7A03" w14:textId="77777777" w:rsidR="00497633" w:rsidRPr="00497633" w:rsidRDefault="00497633" w:rsidP="00497633">
            <w:r w:rsidRPr="00497633">
              <w:t>13,349</w:t>
            </w:r>
          </w:p>
        </w:tc>
      </w:tr>
      <w:tr w:rsidR="00497633" w:rsidRPr="00497633" w14:paraId="636111A8" w14:textId="77777777" w:rsidTr="00497633">
        <w:tc>
          <w:tcPr>
            <w:tcW w:w="0" w:type="auto"/>
            <w:hideMark/>
          </w:tcPr>
          <w:p w14:paraId="15051C3E" w14:textId="77777777" w:rsidR="00497633" w:rsidRPr="00497633" w:rsidRDefault="00497633" w:rsidP="00497633">
            <w:r w:rsidRPr="00497633">
              <w:t>2022</w:t>
            </w:r>
          </w:p>
        </w:tc>
        <w:tc>
          <w:tcPr>
            <w:tcW w:w="0" w:type="auto"/>
            <w:hideMark/>
          </w:tcPr>
          <w:p w14:paraId="00193DB6" w14:textId="77777777" w:rsidR="00497633" w:rsidRPr="00497633" w:rsidRDefault="00497633" w:rsidP="00497633">
            <w:r w:rsidRPr="00497633">
              <w:t>14,409</w:t>
            </w:r>
          </w:p>
        </w:tc>
      </w:tr>
      <w:tr w:rsidR="00497633" w:rsidRPr="00497633" w14:paraId="660E0334" w14:textId="77777777" w:rsidTr="00497633">
        <w:tc>
          <w:tcPr>
            <w:tcW w:w="0" w:type="auto"/>
            <w:hideMark/>
          </w:tcPr>
          <w:p w14:paraId="1DEF501F" w14:textId="77777777" w:rsidR="00497633" w:rsidRPr="00497633" w:rsidRDefault="00497633" w:rsidP="00497633">
            <w:r w:rsidRPr="00497633">
              <w:t>2023</w:t>
            </w:r>
          </w:p>
        </w:tc>
        <w:tc>
          <w:tcPr>
            <w:tcW w:w="0" w:type="auto"/>
            <w:hideMark/>
          </w:tcPr>
          <w:p w14:paraId="00E18092" w14:textId="77777777" w:rsidR="00497633" w:rsidRPr="00497633" w:rsidRDefault="00497633" w:rsidP="00497633">
            <w:r w:rsidRPr="00497633">
              <w:t>14,741</w:t>
            </w:r>
          </w:p>
        </w:tc>
      </w:tr>
      <w:tr w:rsidR="00497633" w:rsidRPr="00497633" w14:paraId="75222F8D" w14:textId="77777777" w:rsidTr="00497633">
        <w:tc>
          <w:tcPr>
            <w:tcW w:w="0" w:type="auto"/>
            <w:hideMark/>
          </w:tcPr>
          <w:p w14:paraId="429DDB80" w14:textId="77777777" w:rsidR="00497633" w:rsidRPr="00497633" w:rsidRDefault="00497633" w:rsidP="00497633">
            <w:r w:rsidRPr="00497633">
              <w:t>2024</w:t>
            </w:r>
          </w:p>
        </w:tc>
        <w:tc>
          <w:tcPr>
            <w:tcW w:w="0" w:type="auto"/>
            <w:hideMark/>
          </w:tcPr>
          <w:p w14:paraId="3CFA9B3C" w14:textId="77777777" w:rsidR="00497633" w:rsidRPr="00497633" w:rsidRDefault="00497633" w:rsidP="00497633">
            <w:r w:rsidRPr="00497633">
              <w:t>14,990</w:t>
            </w:r>
          </w:p>
        </w:tc>
      </w:tr>
    </w:tbl>
    <w:p w14:paraId="3B871D7F" w14:textId="77777777" w:rsidR="00497633" w:rsidRPr="00497633" w:rsidRDefault="00497633" w:rsidP="00497633">
      <w:r w:rsidRPr="00497633">
        <w:rPr>
          <w:b/>
          <w:bCs/>
        </w:rPr>
        <w:t>Trend:</w:t>
      </w:r>
      <w:r w:rsidRPr="00497633">
        <w:t xml:space="preserve"> steady national growth since 2020 — roughly a </w:t>
      </w:r>
      <w:r w:rsidRPr="00497633">
        <w:rPr>
          <w:b/>
          <w:bCs/>
        </w:rPr>
        <w:t>13% increase</w:t>
      </w:r>
      <w:r w:rsidRPr="00497633">
        <w:t xml:space="preserve"> over four years.</w:t>
      </w:r>
    </w:p>
    <w:p w14:paraId="498372EB" w14:textId="77777777" w:rsidR="00497633" w:rsidRPr="00497633" w:rsidRDefault="00497633" w:rsidP="00497633">
      <w:r w:rsidRPr="00497633">
        <w:pict w14:anchorId="203629D3">
          <v:rect id="_x0000_i1086" style="width:0;height:1.5pt" o:hralign="center" o:hrstd="t" o:hr="t" fillcolor="#a0a0a0" stroked="f"/>
        </w:pict>
      </w:r>
    </w:p>
    <w:p w14:paraId="52DC7CC8" w14:textId="77777777" w:rsidR="00497633" w:rsidRPr="00497633" w:rsidRDefault="00497633" w:rsidP="00497633">
      <w:pPr>
        <w:rPr>
          <w:b/>
          <w:bCs/>
        </w:rPr>
      </w:pPr>
      <w:r w:rsidRPr="00497633">
        <w:rPr>
          <w:rFonts w:ascii="Segoe UI Emoji" w:hAnsi="Segoe UI Emoji" w:cs="Segoe UI Emoji"/>
          <w:b/>
          <w:bCs/>
        </w:rPr>
        <w:t>🏆</w:t>
      </w:r>
      <w:r w:rsidRPr="00497633">
        <w:rPr>
          <w:b/>
          <w:bCs/>
        </w:rPr>
        <w:t xml:space="preserve"> States with the Most Growth (2020–2024)</w:t>
      </w:r>
    </w:p>
    <w:tbl>
      <w:tblPr>
        <w:tblStyle w:val="TableGrid"/>
        <w:tblW w:w="0" w:type="auto"/>
        <w:tblLook w:val="04A0" w:firstRow="1" w:lastRow="0" w:firstColumn="1" w:lastColumn="0" w:noHBand="0" w:noVBand="1"/>
      </w:tblPr>
      <w:tblGrid>
        <w:gridCol w:w="1294"/>
        <w:gridCol w:w="2514"/>
      </w:tblGrid>
      <w:tr w:rsidR="00497633" w:rsidRPr="00497633" w14:paraId="0F826811" w14:textId="77777777" w:rsidTr="00497633">
        <w:tc>
          <w:tcPr>
            <w:tcW w:w="0" w:type="auto"/>
            <w:hideMark/>
          </w:tcPr>
          <w:p w14:paraId="6FABF592" w14:textId="77777777" w:rsidR="00497633" w:rsidRPr="00497633" w:rsidRDefault="00497633" w:rsidP="00497633">
            <w:pPr>
              <w:rPr>
                <w:b/>
                <w:bCs/>
              </w:rPr>
            </w:pPr>
            <w:r w:rsidRPr="00497633">
              <w:rPr>
                <w:b/>
                <w:bCs/>
              </w:rPr>
              <w:t>State</w:t>
            </w:r>
          </w:p>
        </w:tc>
        <w:tc>
          <w:tcPr>
            <w:tcW w:w="0" w:type="auto"/>
            <w:hideMark/>
          </w:tcPr>
          <w:p w14:paraId="32F8D7FA" w14:textId="77777777" w:rsidR="00497633" w:rsidRPr="00497633" w:rsidRDefault="00497633" w:rsidP="00497633">
            <w:pPr>
              <w:rPr>
                <w:b/>
                <w:bCs/>
              </w:rPr>
            </w:pPr>
            <w:r w:rsidRPr="00497633">
              <w:rPr>
                <w:b/>
                <w:bCs/>
              </w:rPr>
              <w:t>Growth in Total Teachers</w:t>
            </w:r>
          </w:p>
        </w:tc>
      </w:tr>
      <w:tr w:rsidR="00497633" w:rsidRPr="00497633" w14:paraId="11D1542C" w14:textId="77777777" w:rsidTr="00497633">
        <w:tc>
          <w:tcPr>
            <w:tcW w:w="0" w:type="auto"/>
            <w:hideMark/>
          </w:tcPr>
          <w:p w14:paraId="18DF0A47" w14:textId="77777777" w:rsidR="00497633" w:rsidRPr="00497633" w:rsidRDefault="00497633" w:rsidP="00497633">
            <w:r w:rsidRPr="00497633">
              <w:t>Ohio</w:t>
            </w:r>
          </w:p>
        </w:tc>
        <w:tc>
          <w:tcPr>
            <w:tcW w:w="0" w:type="auto"/>
            <w:hideMark/>
          </w:tcPr>
          <w:p w14:paraId="3F99FED0" w14:textId="77777777" w:rsidR="00497633" w:rsidRPr="00497633" w:rsidRDefault="00497633" w:rsidP="00497633">
            <w:r w:rsidRPr="00497633">
              <w:t>+145</w:t>
            </w:r>
          </w:p>
        </w:tc>
      </w:tr>
      <w:tr w:rsidR="00497633" w:rsidRPr="00497633" w14:paraId="2DF1D456" w14:textId="77777777" w:rsidTr="00497633">
        <w:tc>
          <w:tcPr>
            <w:tcW w:w="0" w:type="auto"/>
            <w:hideMark/>
          </w:tcPr>
          <w:p w14:paraId="2696D0F6" w14:textId="77777777" w:rsidR="00497633" w:rsidRPr="00497633" w:rsidRDefault="00497633" w:rsidP="00497633">
            <w:r w:rsidRPr="00497633">
              <w:t>Washington</w:t>
            </w:r>
          </w:p>
        </w:tc>
        <w:tc>
          <w:tcPr>
            <w:tcW w:w="0" w:type="auto"/>
            <w:hideMark/>
          </w:tcPr>
          <w:p w14:paraId="02DB30F5" w14:textId="77777777" w:rsidR="00497633" w:rsidRPr="00497633" w:rsidRDefault="00497633" w:rsidP="00497633">
            <w:r w:rsidRPr="00497633">
              <w:t>+134</w:t>
            </w:r>
          </w:p>
        </w:tc>
      </w:tr>
      <w:tr w:rsidR="00497633" w:rsidRPr="00497633" w14:paraId="7AF85FAB" w14:textId="77777777" w:rsidTr="00497633">
        <w:tc>
          <w:tcPr>
            <w:tcW w:w="0" w:type="auto"/>
            <w:hideMark/>
          </w:tcPr>
          <w:p w14:paraId="316BBCF7" w14:textId="77777777" w:rsidR="00497633" w:rsidRPr="00497633" w:rsidRDefault="00497633" w:rsidP="00497633">
            <w:r w:rsidRPr="00497633">
              <w:t>Illinois</w:t>
            </w:r>
          </w:p>
        </w:tc>
        <w:tc>
          <w:tcPr>
            <w:tcW w:w="0" w:type="auto"/>
            <w:hideMark/>
          </w:tcPr>
          <w:p w14:paraId="0D3D126C" w14:textId="77777777" w:rsidR="00497633" w:rsidRPr="00497633" w:rsidRDefault="00497633" w:rsidP="00497633">
            <w:r w:rsidRPr="00497633">
              <w:t>+110</w:t>
            </w:r>
          </w:p>
        </w:tc>
      </w:tr>
      <w:tr w:rsidR="00497633" w:rsidRPr="00497633" w14:paraId="361907E0" w14:textId="77777777" w:rsidTr="00497633">
        <w:tc>
          <w:tcPr>
            <w:tcW w:w="0" w:type="auto"/>
            <w:hideMark/>
          </w:tcPr>
          <w:p w14:paraId="257B2A4B" w14:textId="77777777" w:rsidR="00497633" w:rsidRPr="00497633" w:rsidRDefault="00497633" w:rsidP="00497633">
            <w:r w:rsidRPr="00497633">
              <w:t>New York</w:t>
            </w:r>
          </w:p>
        </w:tc>
        <w:tc>
          <w:tcPr>
            <w:tcW w:w="0" w:type="auto"/>
            <w:hideMark/>
          </w:tcPr>
          <w:p w14:paraId="01124CCD" w14:textId="77777777" w:rsidR="00497633" w:rsidRPr="00497633" w:rsidRDefault="00497633" w:rsidP="00497633">
            <w:r w:rsidRPr="00497633">
              <w:t>+87</w:t>
            </w:r>
          </w:p>
        </w:tc>
      </w:tr>
      <w:tr w:rsidR="00497633" w:rsidRPr="00497633" w14:paraId="6294B76E" w14:textId="77777777" w:rsidTr="00497633">
        <w:tc>
          <w:tcPr>
            <w:tcW w:w="0" w:type="auto"/>
            <w:hideMark/>
          </w:tcPr>
          <w:p w14:paraId="794FE714" w14:textId="77777777" w:rsidR="00497633" w:rsidRPr="00497633" w:rsidRDefault="00497633" w:rsidP="00497633">
            <w:r w:rsidRPr="00497633">
              <w:t>Georgia</w:t>
            </w:r>
          </w:p>
        </w:tc>
        <w:tc>
          <w:tcPr>
            <w:tcW w:w="0" w:type="auto"/>
            <w:hideMark/>
          </w:tcPr>
          <w:p w14:paraId="0960D33E" w14:textId="77777777" w:rsidR="00497633" w:rsidRPr="00497633" w:rsidRDefault="00497633" w:rsidP="00497633">
            <w:r w:rsidRPr="00497633">
              <w:t>+72</w:t>
            </w:r>
          </w:p>
        </w:tc>
      </w:tr>
    </w:tbl>
    <w:p w14:paraId="7E4DE2DB" w14:textId="77777777" w:rsidR="00497633" w:rsidRPr="00497633" w:rsidRDefault="00497633" w:rsidP="00497633">
      <w:r w:rsidRPr="00497633">
        <w:t>These states are leading the national increase, suggesting expansion of agricultural or CTE programs.</w:t>
      </w:r>
    </w:p>
    <w:p w14:paraId="0D04DAFB" w14:textId="77777777" w:rsidR="00497633" w:rsidRPr="00497633" w:rsidRDefault="00497633" w:rsidP="00497633">
      <w:r w:rsidRPr="00497633">
        <w:pict w14:anchorId="58EF3C12">
          <v:rect id="_x0000_i1087" style="width:0;height:1.5pt" o:hralign="center" o:hrstd="t" o:hr="t" fillcolor="#a0a0a0" stroked="f"/>
        </w:pict>
      </w:r>
    </w:p>
    <w:p w14:paraId="0E51868F" w14:textId="77777777" w:rsidR="00497633" w:rsidRPr="00497633" w:rsidRDefault="00497633" w:rsidP="00497633">
      <w:pPr>
        <w:rPr>
          <w:b/>
          <w:bCs/>
        </w:rPr>
      </w:pPr>
      <w:r w:rsidRPr="00497633">
        <w:rPr>
          <w:rFonts w:ascii="Segoe UI Emoji" w:hAnsi="Segoe UI Emoji" w:cs="Segoe UI Emoji"/>
          <w:b/>
          <w:bCs/>
        </w:rPr>
        <w:t>⚠️</w:t>
      </w:r>
      <w:r w:rsidRPr="00497633">
        <w:rPr>
          <w:b/>
          <w:bCs/>
        </w:rPr>
        <w:t xml:space="preserve"> States with the Least (or Negative) Growth</w:t>
      </w:r>
    </w:p>
    <w:tbl>
      <w:tblPr>
        <w:tblStyle w:val="TableGrid"/>
        <w:tblW w:w="0" w:type="auto"/>
        <w:tblLook w:val="04A0" w:firstRow="1" w:lastRow="0" w:firstColumn="1" w:lastColumn="0" w:noHBand="0" w:noVBand="1"/>
      </w:tblPr>
      <w:tblGrid>
        <w:gridCol w:w="1647"/>
        <w:gridCol w:w="2514"/>
      </w:tblGrid>
      <w:tr w:rsidR="00497633" w:rsidRPr="00497633" w14:paraId="14A41B73" w14:textId="77777777" w:rsidTr="00497633">
        <w:tc>
          <w:tcPr>
            <w:tcW w:w="0" w:type="auto"/>
            <w:hideMark/>
          </w:tcPr>
          <w:p w14:paraId="68A3D857" w14:textId="77777777" w:rsidR="00497633" w:rsidRPr="00497633" w:rsidRDefault="00497633" w:rsidP="00497633">
            <w:pPr>
              <w:rPr>
                <w:b/>
                <w:bCs/>
              </w:rPr>
            </w:pPr>
            <w:r w:rsidRPr="00497633">
              <w:rPr>
                <w:b/>
                <w:bCs/>
              </w:rPr>
              <w:lastRenderedPageBreak/>
              <w:t>State</w:t>
            </w:r>
          </w:p>
        </w:tc>
        <w:tc>
          <w:tcPr>
            <w:tcW w:w="0" w:type="auto"/>
            <w:hideMark/>
          </w:tcPr>
          <w:p w14:paraId="70AF6AE1" w14:textId="77777777" w:rsidR="00497633" w:rsidRPr="00497633" w:rsidRDefault="00497633" w:rsidP="00497633">
            <w:pPr>
              <w:rPr>
                <w:b/>
                <w:bCs/>
              </w:rPr>
            </w:pPr>
            <w:r w:rsidRPr="00497633">
              <w:rPr>
                <w:b/>
                <w:bCs/>
              </w:rPr>
              <w:t>Growth in Total Teachers</w:t>
            </w:r>
          </w:p>
        </w:tc>
      </w:tr>
      <w:tr w:rsidR="00497633" w:rsidRPr="00497633" w14:paraId="59F622EE" w14:textId="77777777" w:rsidTr="00497633">
        <w:tc>
          <w:tcPr>
            <w:tcW w:w="0" w:type="auto"/>
            <w:hideMark/>
          </w:tcPr>
          <w:p w14:paraId="76BDB8DB" w14:textId="77777777" w:rsidR="00497633" w:rsidRPr="00497633" w:rsidRDefault="00497633" w:rsidP="00497633">
            <w:r w:rsidRPr="00497633">
              <w:t>Maine</w:t>
            </w:r>
          </w:p>
        </w:tc>
        <w:tc>
          <w:tcPr>
            <w:tcW w:w="0" w:type="auto"/>
            <w:hideMark/>
          </w:tcPr>
          <w:p w14:paraId="67699E98" w14:textId="77777777" w:rsidR="00497633" w:rsidRPr="00497633" w:rsidRDefault="00497633" w:rsidP="00497633">
            <w:r w:rsidRPr="00497633">
              <w:t>−60</w:t>
            </w:r>
          </w:p>
        </w:tc>
      </w:tr>
      <w:tr w:rsidR="00497633" w:rsidRPr="00497633" w14:paraId="1DC0A253" w14:textId="77777777" w:rsidTr="00497633">
        <w:tc>
          <w:tcPr>
            <w:tcW w:w="0" w:type="auto"/>
            <w:hideMark/>
          </w:tcPr>
          <w:p w14:paraId="52A6EC03" w14:textId="77777777" w:rsidR="00497633" w:rsidRPr="00497633" w:rsidRDefault="00497633" w:rsidP="00497633">
            <w:r w:rsidRPr="00497633">
              <w:t>Louisiana</w:t>
            </w:r>
          </w:p>
        </w:tc>
        <w:tc>
          <w:tcPr>
            <w:tcW w:w="0" w:type="auto"/>
            <w:hideMark/>
          </w:tcPr>
          <w:p w14:paraId="68B909FA" w14:textId="77777777" w:rsidR="00497633" w:rsidRPr="00497633" w:rsidRDefault="00497633" w:rsidP="00497633">
            <w:r w:rsidRPr="00497633">
              <w:t>−10</w:t>
            </w:r>
          </w:p>
        </w:tc>
      </w:tr>
      <w:tr w:rsidR="00497633" w:rsidRPr="00497633" w14:paraId="5388222B" w14:textId="77777777" w:rsidTr="00497633">
        <w:tc>
          <w:tcPr>
            <w:tcW w:w="0" w:type="auto"/>
            <w:hideMark/>
          </w:tcPr>
          <w:p w14:paraId="02201037" w14:textId="77777777" w:rsidR="00497633" w:rsidRPr="00497633" w:rsidRDefault="00497633" w:rsidP="00497633">
            <w:r w:rsidRPr="00497633">
              <w:t>Mississippi</w:t>
            </w:r>
          </w:p>
        </w:tc>
        <w:tc>
          <w:tcPr>
            <w:tcW w:w="0" w:type="auto"/>
            <w:hideMark/>
          </w:tcPr>
          <w:p w14:paraId="231ABB17" w14:textId="77777777" w:rsidR="00497633" w:rsidRPr="00497633" w:rsidRDefault="00497633" w:rsidP="00497633">
            <w:r w:rsidRPr="00497633">
              <w:t>−7</w:t>
            </w:r>
          </w:p>
        </w:tc>
      </w:tr>
      <w:tr w:rsidR="00497633" w:rsidRPr="00497633" w14:paraId="792BCC48" w14:textId="77777777" w:rsidTr="00497633">
        <w:tc>
          <w:tcPr>
            <w:tcW w:w="0" w:type="auto"/>
            <w:hideMark/>
          </w:tcPr>
          <w:p w14:paraId="2893C109" w14:textId="77777777" w:rsidR="00497633" w:rsidRPr="00497633" w:rsidRDefault="00497633" w:rsidP="00497633">
            <w:r w:rsidRPr="00497633">
              <w:t>Utah</w:t>
            </w:r>
          </w:p>
        </w:tc>
        <w:tc>
          <w:tcPr>
            <w:tcW w:w="0" w:type="auto"/>
            <w:hideMark/>
          </w:tcPr>
          <w:p w14:paraId="476141F2" w14:textId="77777777" w:rsidR="00497633" w:rsidRPr="00497633" w:rsidRDefault="00497633" w:rsidP="00497633">
            <w:r w:rsidRPr="00497633">
              <w:t>−6</w:t>
            </w:r>
          </w:p>
        </w:tc>
      </w:tr>
      <w:tr w:rsidR="00497633" w:rsidRPr="00497633" w14:paraId="5AC2F8D1" w14:textId="77777777" w:rsidTr="00497633">
        <w:tc>
          <w:tcPr>
            <w:tcW w:w="0" w:type="auto"/>
            <w:hideMark/>
          </w:tcPr>
          <w:p w14:paraId="2048F186" w14:textId="77777777" w:rsidR="00497633" w:rsidRPr="00497633" w:rsidRDefault="00497633" w:rsidP="00497633">
            <w:r w:rsidRPr="00497633">
              <w:t>New Hampshire</w:t>
            </w:r>
          </w:p>
        </w:tc>
        <w:tc>
          <w:tcPr>
            <w:tcW w:w="0" w:type="auto"/>
            <w:hideMark/>
          </w:tcPr>
          <w:p w14:paraId="296675D3" w14:textId="77777777" w:rsidR="00497633" w:rsidRPr="00497633" w:rsidRDefault="00497633" w:rsidP="00497633">
            <w:r w:rsidRPr="00497633">
              <w:t>−4</w:t>
            </w:r>
          </w:p>
        </w:tc>
      </w:tr>
    </w:tbl>
    <w:p w14:paraId="04D0499D" w14:textId="77777777" w:rsidR="00497633" w:rsidRPr="00497633" w:rsidRDefault="00497633" w:rsidP="00497633">
      <w:r w:rsidRPr="00497633">
        <w:t>Maine shows the sharpest decline in teacher numbers.</w:t>
      </w:r>
    </w:p>
    <w:p w14:paraId="45A4BDCA" w14:textId="77777777" w:rsidR="00497633" w:rsidRPr="00497633" w:rsidRDefault="00497633" w:rsidP="00497633">
      <w:r w:rsidRPr="00497633">
        <w:pict w14:anchorId="6CE0761F">
          <v:rect id="_x0000_i1088" style="width:0;height:1.5pt" o:hralign="center" o:hrstd="t" o:hr="t" fillcolor="#a0a0a0" stroked="f"/>
        </w:pict>
      </w:r>
    </w:p>
    <w:p w14:paraId="5C11B93C" w14:textId="77777777" w:rsidR="00497633" w:rsidRPr="00497633" w:rsidRDefault="00497633" w:rsidP="00497633">
      <w:pPr>
        <w:rPr>
          <w:b/>
          <w:bCs/>
        </w:rPr>
      </w:pPr>
      <w:r w:rsidRPr="00497633">
        <w:rPr>
          <w:rFonts w:ascii="Segoe UI Emoji" w:hAnsi="Segoe UI Emoji" w:cs="Segoe UI Emoji"/>
          <w:b/>
          <w:bCs/>
        </w:rPr>
        <w:t>🔮</w:t>
      </w:r>
      <w:r w:rsidRPr="00497633">
        <w:rPr>
          <w:b/>
          <w:bCs/>
        </w:rPr>
        <w:t xml:space="preserve"> Forecast: Predicted National Totals</w:t>
      </w:r>
    </w:p>
    <w:p w14:paraId="2EFC1E3F" w14:textId="77777777" w:rsidR="00497633" w:rsidRPr="00497633" w:rsidRDefault="00497633" w:rsidP="00497633">
      <w:r w:rsidRPr="00497633">
        <w:t>(Using linear regression based on 2020–2024 data)</w:t>
      </w:r>
    </w:p>
    <w:tbl>
      <w:tblPr>
        <w:tblStyle w:val="TableGrid"/>
        <w:tblW w:w="0" w:type="auto"/>
        <w:tblLook w:val="04A0" w:firstRow="1" w:lastRow="0" w:firstColumn="1" w:lastColumn="0" w:noHBand="0" w:noVBand="1"/>
      </w:tblPr>
      <w:tblGrid>
        <w:gridCol w:w="663"/>
        <w:gridCol w:w="2472"/>
      </w:tblGrid>
      <w:tr w:rsidR="00497633" w:rsidRPr="00497633" w14:paraId="405F726F" w14:textId="77777777" w:rsidTr="00497633">
        <w:tc>
          <w:tcPr>
            <w:tcW w:w="0" w:type="auto"/>
            <w:hideMark/>
          </w:tcPr>
          <w:p w14:paraId="19211C7F" w14:textId="77777777" w:rsidR="00497633" w:rsidRPr="00497633" w:rsidRDefault="00497633" w:rsidP="00497633">
            <w:pPr>
              <w:rPr>
                <w:b/>
                <w:bCs/>
              </w:rPr>
            </w:pPr>
            <w:r w:rsidRPr="00497633">
              <w:rPr>
                <w:b/>
                <w:bCs/>
              </w:rPr>
              <w:t>Year</w:t>
            </w:r>
          </w:p>
        </w:tc>
        <w:tc>
          <w:tcPr>
            <w:tcW w:w="0" w:type="auto"/>
            <w:hideMark/>
          </w:tcPr>
          <w:p w14:paraId="264F0429" w14:textId="77777777" w:rsidR="00497633" w:rsidRPr="00497633" w:rsidRDefault="00497633" w:rsidP="00497633">
            <w:pPr>
              <w:rPr>
                <w:b/>
                <w:bCs/>
              </w:rPr>
            </w:pPr>
            <w:r w:rsidRPr="00497633">
              <w:rPr>
                <w:b/>
                <w:bCs/>
              </w:rPr>
              <w:t>Predicted Total Teachers</w:t>
            </w:r>
          </w:p>
        </w:tc>
      </w:tr>
      <w:tr w:rsidR="00497633" w:rsidRPr="00497633" w14:paraId="7D701875" w14:textId="77777777" w:rsidTr="00497633">
        <w:tc>
          <w:tcPr>
            <w:tcW w:w="0" w:type="auto"/>
            <w:hideMark/>
          </w:tcPr>
          <w:p w14:paraId="28B5E87D" w14:textId="77777777" w:rsidR="00497633" w:rsidRPr="00497633" w:rsidRDefault="00497633" w:rsidP="00497633">
            <w:r w:rsidRPr="00497633">
              <w:t>2025</w:t>
            </w:r>
          </w:p>
        </w:tc>
        <w:tc>
          <w:tcPr>
            <w:tcW w:w="0" w:type="auto"/>
            <w:hideMark/>
          </w:tcPr>
          <w:p w14:paraId="65A4C6EB" w14:textId="77777777" w:rsidR="00497633" w:rsidRPr="00497633" w:rsidRDefault="00497633" w:rsidP="00497633">
            <w:r w:rsidRPr="00497633">
              <w:rPr>
                <w:b/>
                <w:bCs/>
              </w:rPr>
              <w:t>15,608</w:t>
            </w:r>
          </w:p>
        </w:tc>
      </w:tr>
      <w:tr w:rsidR="00497633" w:rsidRPr="00497633" w14:paraId="01B9DBDD" w14:textId="77777777" w:rsidTr="00497633">
        <w:tc>
          <w:tcPr>
            <w:tcW w:w="0" w:type="auto"/>
            <w:hideMark/>
          </w:tcPr>
          <w:p w14:paraId="506740B5" w14:textId="77777777" w:rsidR="00497633" w:rsidRPr="00497633" w:rsidRDefault="00497633" w:rsidP="00497633">
            <w:r w:rsidRPr="00497633">
              <w:t>2026</w:t>
            </w:r>
          </w:p>
        </w:tc>
        <w:tc>
          <w:tcPr>
            <w:tcW w:w="0" w:type="auto"/>
            <w:hideMark/>
          </w:tcPr>
          <w:p w14:paraId="242A3181" w14:textId="77777777" w:rsidR="00497633" w:rsidRPr="00497633" w:rsidRDefault="00497633" w:rsidP="00497633">
            <w:r w:rsidRPr="00497633">
              <w:rPr>
                <w:b/>
                <w:bCs/>
              </w:rPr>
              <w:t>16,094</w:t>
            </w:r>
          </w:p>
        </w:tc>
      </w:tr>
      <w:tr w:rsidR="00497633" w:rsidRPr="00497633" w14:paraId="171EB6F2" w14:textId="77777777" w:rsidTr="00497633">
        <w:tc>
          <w:tcPr>
            <w:tcW w:w="0" w:type="auto"/>
            <w:hideMark/>
          </w:tcPr>
          <w:p w14:paraId="52345106" w14:textId="77777777" w:rsidR="00497633" w:rsidRPr="00497633" w:rsidRDefault="00497633" w:rsidP="00497633">
            <w:r w:rsidRPr="00497633">
              <w:t>2027</w:t>
            </w:r>
          </w:p>
        </w:tc>
        <w:tc>
          <w:tcPr>
            <w:tcW w:w="0" w:type="auto"/>
            <w:hideMark/>
          </w:tcPr>
          <w:p w14:paraId="3C1545AC" w14:textId="77777777" w:rsidR="00497633" w:rsidRPr="00497633" w:rsidRDefault="00497633" w:rsidP="00497633">
            <w:r w:rsidRPr="00497633">
              <w:rPr>
                <w:b/>
                <w:bCs/>
              </w:rPr>
              <w:t>16,581</w:t>
            </w:r>
          </w:p>
        </w:tc>
      </w:tr>
    </w:tbl>
    <w:p w14:paraId="105D2521" w14:textId="77777777" w:rsidR="00497633" w:rsidRPr="00497633" w:rsidRDefault="00497633" w:rsidP="00497633">
      <w:r w:rsidRPr="00497633">
        <w:rPr>
          <w:b/>
          <w:bCs/>
        </w:rPr>
        <w:t>Projected trend:</w:t>
      </w:r>
      <w:r w:rsidRPr="00497633">
        <w:t xml:space="preserve"> continuing growth of about </w:t>
      </w:r>
      <w:r w:rsidRPr="00497633">
        <w:rPr>
          <w:b/>
          <w:bCs/>
        </w:rPr>
        <w:t>500–600 teachers per year</w:t>
      </w:r>
      <w:r w:rsidRPr="00497633">
        <w:t xml:space="preserve"> nationally.</w:t>
      </w:r>
    </w:p>
    <w:p w14:paraId="606613D7" w14:textId="77777777" w:rsidR="00497633" w:rsidRPr="00497633" w:rsidRDefault="00497633" w:rsidP="00497633">
      <w:r w:rsidRPr="00497633">
        <w:pict w14:anchorId="7A207F91">
          <v:rect id="_x0000_i1089" style="width:0;height:1.5pt" o:hralign="center" o:hrstd="t" o:hr="t" fillcolor="#a0a0a0" stroked="f"/>
        </w:pict>
      </w:r>
    </w:p>
    <w:p w14:paraId="4714096E" w14:textId="77777777" w:rsidR="00497633" w:rsidRPr="00497633" w:rsidRDefault="00497633" w:rsidP="00497633">
      <w:r w:rsidRPr="00497633">
        <w:t xml:space="preserve">Would you like me to create a </w:t>
      </w:r>
      <w:r w:rsidRPr="00497633">
        <w:rPr>
          <w:b/>
          <w:bCs/>
        </w:rPr>
        <w:t>line chart</w:t>
      </w:r>
      <w:r w:rsidRPr="00497633">
        <w:t xml:space="preserve"> visualizing this national trend and the forecast </w:t>
      </w:r>
      <w:proofErr w:type="gramStart"/>
      <w:r w:rsidRPr="00497633">
        <w:t>to</w:t>
      </w:r>
      <w:proofErr w:type="gramEnd"/>
      <w:r w:rsidRPr="00497633">
        <w:t xml:space="preserve"> 2027?</w:t>
      </w:r>
    </w:p>
    <w:p w14:paraId="40080D7E" w14:textId="77777777" w:rsidR="00497633" w:rsidRPr="00497633" w:rsidRDefault="00497633" w:rsidP="00497633"/>
    <w:sectPr w:rsidR="00497633" w:rsidRPr="00497633" w:rsidSect="00D71C9D">
      <w:headerReference w:type="default" r:id="rId10"/>
      <w:footerReference w:type="default" r:id="rId11"/>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44830" w14:textId="77777777" w:rsidR="00D24805" w:rsidRPr="00B63AA5" w:rsidRDefault="00D24805">
      <w:r w:rsidRPr="00B63AA5">
        <w:separator/>
      </w:r>
    </w:p>
  </w:endnote>
  <w:endnote w:type="continuationSeparator" w:id="0">
    <w:p w14:paraId="3ABE5BC3" w14:textId="77777777" w:rsidR="00D24805" w:rsidRPr="00B63AA5" w:rsidRDefault="00D24805">
      <w:r w:rsidRPr="00B63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Italic">
    <w:altName w:val="Palatino"/>
    <w:panose1 w:val="00000000000000000000"/>
    <w:charset w:val="00"/>
    <w:family w:val="auto"/>
    <w:notTrueType/>
    <w:pitch w:val="default"/>
    <w:sig w:usb0="00000003" w:usb1="00000000" w:usb2="00000000" w:usb3="00000000" w:csb0="00000001" w:csb1="00000000"/>
  </w:font>
  <w:font w:name="Palatino-Roman">
    <w:altName w:val="Palatino"/>
    <w:panose1 w:val="00000000000000000000"/>
    <w:charset w:val="00"/>
    <w:family w:val="auto"/>
    <w:notTrueType/>
    <w:pitch w:val="default"/>
    <w:sig w:usb0="00000003" w:usb1="00000000" w:usb2="00000000" w:usb3="00000000" w:csb0="00000001" w:csb1="00000000"/>
  </w:font>
  <w:font w:name="LGGNN L+ Palatino">
    <w:altName w:val="Book Antiqua"/>
    <w:panose1 w:val="00000000000000000000"/>
    <w:charset w:val="00"/>
    <w:family w:val="roman"/>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7BA7" w14:textId="26FCB355" w:rsidR="007C3F87" w:rsidRPr="00B63AA5" w:rsidRDefault="007C3F87" w:rsidP="000F4CD9">
    <w:pPr>
      <w:pStyle w:val="Footer"/>
      <w:pBdr>
        <w:top w:val="single" w:sz="4" w:space="1" w:color="auto"/>
      </w:pBdr>
      <w:tabs>
        <w:tab w:val="clear" w:pos="4320"/>
        <w:tab w:val="clear" w:pos="8640"/>
        <w:tab w:val="center" w:pos="4500"/>
        <w:tab w:val="right" w:pos="9000"/>
      </w:tabs>
      <w:rPr>
        <w:szCs w:val="20"/>
      </w:rPr>
    </w:pPr>
    <w:r w:rsidRPr="00B63AA5">
      <w:rPr>
        <w:szCs w:val="20"/>
      </w:rPr>
      <w:t xml:space="preserve">Revised: </w:t>
    </w:r>
    <w:r w:rsidRPr="00B63AA5">
      <w:rPr>
        <w:szCs w:val="20"/>
      </w:rPr>
      <w:fldChar w:fldCharType="begin"/>
    </w:r>
    <w:r w:rsidRPr="00B63AA5">
      <w:rPr>
        <w:szCs w:val="20"/>
      </w:rPr>
      <w:instrText xml:space="preserve"> DATE \@ "M/d/yyyy" </w:instrText>
    </w:r>
    <w:r w:rsidRPr="00B63AA5">
      <w:rPr>
        <w:szCs w:val="20"/>
      </w:rPr>
      <w:fldChar w:fldCharType="separate"/>
    </w:r>
    <w:r w:rsidR="00107E33">
      <w:rPr>
        <w:noProof/>
        <w:szCs w:val="20"/>
      </w:rPr>
      <w:t>11/10/2025</w:t>
    </w:r>
    <w:r w:rsidRPr="00B63AA5">
      <w:rPr>
        <w:szCs w:val="20"/>
      </w:rPr>
      <w:fldChar w:fldCharType="end"/>
    </w:r>
    <w:r w:rsidRPr="00B63AA5">
      <w:rPr>
        <w:szCs w:val="20"/>
      </w:rPr>
      <w:tab/>
    </w:r>
    <w:r w:rsidRPr="00B63AA5">
      <w:rPr>
        <w:szCs w:val="20"/>
      </w:rPr>
      <w:tab/>
    </w:r>
    <w:r w:rsidRPr="00B63AA5">
      <w:rPr>
        <w:rStyle w:val="PageNumber"/>
        <w:szCs w:val="20"/>
      </w:rPr>
      <w:fldChar w:fldCharType="begin"/>
    </w:r>
    <w:r w:rsidRPr="00B63AA5">
      <w:rPr>
        <w:rStyle w:val="PageNumber"/>
        <w:szCs w:val="20"/>
      </w:rPr>
      <w:instrText xml:space="preserve"> PAGE </w:instrText>
    </w:r>
    <w:r w:rsidRPr="00B63AA5">
      <w:rPr>
        <w:rStyle w:val="PageNumber"/>
        <w:szCs w:val="20"/>
      </w:rPr>
      <w:fldChar w:fldCharType="separate"/>
    </w:r>
    <w:r w:rsidR="0051200D" w:rsidRPr="00B63AA5">
      <w:rPr>
        <w:rStyle w:val="PageNumber"/>
        <w:szCs w:val="20"/>
      </w:rPr>
      <w:t>6</w:t>
    </w:r>
    <w:r w:rsidRPr="00B63AA5">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96F63" w14:textId="77777777" w:rsidR="00D24805" w:rsidRPr="00B63AA5" w:rsidRDefault="00D24805">
      <w:r w:rsidRPr="00B63AA5">
        <w:separator/>
      </w:r>
    </w:p>
  </w:footnote>
  <w:footnote w:type="continuationSeparator" w:id="0">
    <w:p w14:paraId="587835A1" w14:textId="77777777" w:rsidR="00D24805" w:rsidRPr="00B63AA5" w:rsidRDefault="00D24805">
      <w:r w:rsidRPr="00B63A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5601" w14:textId="2C884B79" w:rsidR="007C3F87" w:rsidRPr="00B63AA5" w:rsidRDefault="00355F47" w:rsidP="00355F47">
    <w:pPr>
      <w:pStyle w:val="Header"/>
      <w:tabs>
        <w:tab w:val="clear" w:pos="8640"/>
        <w:tab w:val="right" w:pos="9350"/>
      </w:tabs>
      <w:rPr>
        <w:bCs/>
        <w:sz w:val="20"/>
        <w:szCs w:val="20"/>
      </w:rPr>
    </w:pPr>
    <w:r w:rsidRPr="00B63AA5">
      <w:rPr>
        <w:sz w:val="20"/>
        <w:szCs w:val="20"/>
      </w:rPr>
      <w:t>American Association for Agricultural Education</w:t>
    </w:r>
    <w:r w:rsidRPr="00B63AA5">
      <w:rPr>
        <w:sz w:val="20"/>
        <w:szCs w:val="20"/>
      </w:rPr>
      <w:tab/>
    </w:r>
    <w:r w:rsidRPr="00B63AA5">
      <w:rPr>
        <w:sz w:val="20"/>
        <w:szCs w:val="20"/>
      </w:rPr>
      <w:tab/>
      <w:t>National Supply and Demand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9D3"/>
    <w:multiLevelType w:val="multilevel"/>
    <w:tmpl w:val="AD2A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3DF1"/>
    <w:multiLevelType w:val="hybridMultilevel"/>
    <w:tmpl w:val="B3ECF5DC"/>
    <w:lvl w:ilvl="0" w:tplc="AD06351A">
      <w:start w:val="1"/>
      <w:numFmt w:val="decimal"/>
      <w:pStyle w:val="Worksheet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245ED"/>
    <w:multiLevelType w:val="hybridMultilevel"/>
    <w:tmpl w:val="1C96135E"/>
    <w:lvl w:ilvl="0" w:tplc="6DD029D2">
      <w:start w:val="1"/>
      <w:numFmt w:val="decimal"/>
      <w:pStyle w:val="Instructions"/>
      <w:lvlText w:val="%1."/>
      <w:lvlJc w:val="left"/>
      <w:pPr>
        <w:tabs>
          <w:tab w:val="num" w:pos="0"/>
        </w:tabs>
        <w:ind w:left="360" w:hanging="360"/>
      </w:pPr>
      <w:rPr>
        <w:rFonts w:ascii="Arial" w:hAnsi="Arial" w:hint="default"/>
        <w:b w:val="0"/>
        <w:i w:val="0"/>
        <w:sz w:val="20"/>
        <w:szCs w:val="20"/>
      </w:rPr>
    </w:lvl>
    <w:lvl w:ilvl="1" w:tplc="27B6EF48">
      <w:start w:val="1"/>
      <w:numFmt w:val="decimal"/>
      <w:lvlText w:val="%2."/>
      <w:lvlJc w:val="left"/>
      <w:pPr>
        <w:tabs>
          <w:tab w:val="num" w:pos="1080"/>
        </w:tabs>
        <w:ind w:left="1440" w:hanging="360"/>
      </w:pPr>
      <w:rPr>
        <w:rFonts w:ascii="Times New Roman" w:hAnsi="Times New Roman"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B1253"/>
    <w:multiLevelType w:val="hybridMultilevel"/>
    <w:tmpl w:val="9DD8FCB2"/>
    <w:lvl w:ilvl="0" w:tplc="F92488A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211C7"/>
    <w:multiLevelType w:val="multilevel"/>
    <w:tmpl w:val="45A8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B6D35"/>
    <w:multiLevelType w:val="multilevel"/>
    <w:tmpl w:val="CC183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81ECF"/>
    <w:multiLevelType w:val="hybridMultilevel"/>
    <w:tmpl w:val="69A2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30B8F"/>
    <w:multiLevelType w:val="multilevel"/>
    <w:tmpl w:val="5C3A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964F3"/>
    <w:multiLevelType w:val="hybridMultilevel"/>
    <w:tmpl w:val="FA261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B4103"/>
    <w:multiLevelType w:val="multilevel"/>
    <w:tmpl w:val="C0E6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92141"/>
    <w:multiLevelType w:val="multilevel"/>
    <w:tmpl w:val="C9729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E498A"/>
    <w:multiLevelType w:val="multilevel"/>
    <w:tmpl w:val="D576C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C81520"/>
    <w:multiLevelType w:val="multilevel"/>
    <w:tmpl w:val="3E6A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03204"/>
    <w:multiLevelType w:val="hybridMultilevel"/>
    <w:tmpl w:val="D4B4A54A"/>
    <w:lvl w:ilvl="0" w:tplc="8D1607F0">
      <w:start w:val="1"/>
      <w:numFmt w:val="decimal"/>
      <w:pStyle w:val="Direc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733E9"/>
    <w:multiLevelType w:val="multilevel"/>
    <w:tmpl w:val="6792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24C2E"/>
    <w:multiLevelType w:val="multilevel"/>
    <w:tmpl w:val="A226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801B58"/>
    <w:multiLevelType w:val="multilevel"/>
    <w:tmpl w:val="5D60A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EF03E5"/>
    <w:multiLevelType w:val="hybridMultilevel"/>
    <w:tmpl w:val="1390F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399011">
    <w:abstractNumId w:val="1"/>
  </w:num>
  <w:num w:numId="2" w16cid:durableId="299920256">
    <w:abstractNumId w:val="3"/>
  </w:num>
  <w:num w:numId="3" w16cid:durableId="1858959950">
    <w:abstractNumId w:val="13"/>
    <w:lvlOverride w:ilvl="0">
      <w:startOverride w:val="1"/>
    </w:lvlOverride>
  </w:num>
  <w:num w:numId="4" w16cid:durableId="1615282271">
    <w:abstractNumId w:val="1"/>
    <w:lvlOverride w:ilvl="0">
      <w:startOverride w:val="1"/>
    </w:lvlOverride>
  </w:num>
  <w:num w:numId="5" w16cid:durableId="1142383515">
    <w:abstractNumId w:val="13"/>
    <w:lvlOverride w:ilvl="0">
      <w:startOverride w:val="1"/>
    </w:lvlOverride>
  </w:num>
  <w:num w:numId="6" w16cid:durableId="149450648">
    <w:abstractNumId w:val="13"/>
    <w:lvlOverride w:ilvl="0">
      <w:startOverride w:val="1"/>
    </w:lvlOverride>
  </w:num>
  <w:num w:numId="7" w16cid:durableId="2019193674">
    <w:abstractNumId w:val="1"/>
    <w:lvlOverride w:ilvl="0">
      <w:startOverride w:val="1"/>
    </w:lvlOverride>
  </w:num>
  <w:num w:numId="8" w16cid:durableId="963851049">
    <w:abstractNumId w:val="13"/>
    <w:lvlOverride w:ilvl="0">
      <w:startOverride w:val="1"/>
    </w:lvlOverride>
  </w:num>
  <w:num w:numId="9" w16cid:durableId="2029914347">
    <w:abstractNumId w:val="13"/>
    <w:lvlOverride w:ilvl="0">
      <w:startOverride w:val="1"/>
    </w:lvlOverride>
  </w:num>
  <w:num w:numId="10" w16cid:durableId="1079717524">
    <w:abstractNumId w:val="13"/>
    <w:lvlOverride w:ilvl="0">
      <w:startOverride w:val="1"/>
    </w:lvlOverride>
  </w:num>
  <w:num w:numId="11" w16cid:durableId="234583860">
    <w:abstractNumId w:val="13"/>
    <w:lvlOverride w:ilvl="0">
      <w:startOverride w:val="1"/>
    </w:lvlOverride>
  </w:num>
  <w:num w:numId="12" w16cid:durableId="1537540545">
    <w:abstractNumId w:val="13"/>
    <w:lvlOverride w:ilvl="0">
      <w:startOverride w:val="1"/>
    </w:lvlOverride>
  </w:num>
  <w:num w:numId="13" w16cid:durableId="1851948007">
    <w:abstractNumId w:val="1"/>
    <w:lvlOverride w:ilvl="0">
      <w:startOverride w:val="1"/>
    </w:lvlOverride>
  </w:num>
  <w:num w:numId="14" w16cid:durableId="316569627">
    <w:abstractNumId w:val="1"/>
    <w:lvlOverride w:ilvl="0">
      <w:startOverride w:val="1"/>
    </w:lvlOverride>
  </w:num>
  <w:num w:numId="15" w16cid:durableId="87654256">
    <w:abstractNumId w:val="1"/>
    <w:lvlOverride w:ilvl="0">
      <w:startOverride w:val="1"/>
    </w:lvlOverride>
  </w:num>
  <w:num w:numId="16" w16cid:durableId="1235092677">
    <w:abstractNumId w:val="13"/>
  </w:num>
  <w:num w:numId="17" w16cid:durableId="978920637">
    <w:abstractNumId w:val="13"/>
    <w:lvlOverride w:ilvl="0">
      <w:startOverride w:val="1"/>
    </w:lvlOverride>
  </w:num>
  <w:num w:numId="18" w16cid:durableId="574633842">
    <w:abstractNumId w:val="13"/>
    <w:lvlOverride w:ilvl="0">
      <w:startOverride w:val="1"/>
    </w:lvlOverride>
  </w:num>
  <w:num w:numId="19" w16cid:durableId="1376392442">
    <w:abstractNumId w:val="2"/>
  </w:num>
  <w:num w:numId="20" w16cid:durableId="1994945252">
    <w:abstractNumId w:val="13"/>
    <w:lvlOverride w:ilvl="0">
      <w:startOverride w:val="1"/>
    </w:lvlOverride>
  </w:num>
  <w:num w:numId="21" w16cid:durableId="1984583136">
    <w:abstractNumId w:val="1"/>
    <w:lvlOverride w:ilvl="0">
      <w:startOverride w:val="1"/>
    </w:lvlOverride>
  </w:num>
  <w:num w:numId="22" w16cid:durableId="1126698326">
    <w:abstractNumId w:val="13"/>
    <w:lvlOverride w:ilvl="0">
      <w:startOverride w:val="1"/>
    </w:lvlOverride>
  </w:num>
  <w:num w:numId="23" w16cid:durableId="1090851990">
    <w:abstractNumId w:val="13"/>
    <w:lvlOverride w:ilvl="0">
      <w:startOverride w:val="1"/>
    </w:lvlOverride>
  </w:num>
  <w:num w:numId="24" w16cid:durableId="1722628001">
    <w:abstractNumId w:val="1"/>
    <w:lvlOverride w:ilvl="0">
      <w:startOverride w:val="1"/>
    </w:lvlOverride>
  </w:num>
  <w:num w:numId="25" w16cid:durableId="1429159020">
    <w:abstractNumId w:val="13"/>
    <w:lvlOverride w:ilvl="0">
      <w:startOverride w:val="1"/>
    </w:lvlOverride>
  </w:num>
  <w:num w:numId="26" w16cid:durableId="1037780144">
    <w:abstractNumId w:val="13"/>
    <w:lvlOverride w:ilvl="0">
      <w:startOverride w:val="1"/>
    </w:lvlOverride>
  </w:num>
  <w:num w:numId="27" w16cid:durableId="1536194895">
    <w:abstractNumId w:val="13"/>
    <w:lvlOverride w:ilvl="0">
      <w:startOverride w:val="1"/>
    </w:lvlOverride>
  </w:num>
  <w:num w:numId="28" w16cid:durableId="463348861">
    <w:abstractNumId w:val="13"/>
    <w:lvlOverride w:ilvl="0">
      <w:startOverride w:val="1"/>
    </w:lvlOverride>
  </w:num>
  <w:num w:numId="29" w16cid:durableId="1771124499">
    <w:abstractNumId w:val="8"/>
  </w:num>
  <w:num w:numId="30" w16cid:durableId="1000232285">
    <w:abstractNumId w:val="6"/>
  </w:num>
  <w:num w:numId="31" w16cid:durableId="370619598">
    <w:abstractNumId w:val="17"/>
  </w:num>
  <w:num w:numId="32" w16cid:durableId="663440312">
    <w:abstractNumId w:val="13"/>
    <w:lvlOverride w:ilvl="0">
      <w:startOverride w:val="1"/>
    </w:lvlOverride>
  </w:num>
  <w:num w:numId="33" w16cid:durableId="134035527">
    <w:abstractNumId w:val="5"/>
  </w:num>
  <w:num w:numId="34" w16cid:durableId="2124838074">
    <w:abstractNumId w:val="11"/>
  </w:num>
  <w:num w:numId="35" w16cid:durableId="1919167769">
    <w:abstractNumId w:val="12"/>
  </w:num>
  <w:num w:numId="36" w16cid:durableId="76093928">
    <w:abstractNumId w:val="15"/>
  </w:num>
  <w:num w:numId="37" w16cid:durableId="2134639186">
    <w:abstractNumId w:val="9"/>
  </w:num>
  <w:num w:numId="38" w16cid:durableId="463741183">
    <w:abstractNumId w:val="7"/>
  </w:num>
  <w:num w:numId="39" w16cid:durableId="1969046732">
    <w:abstractNumId w:val="16"/>
  </w:num>
  <w:num w:numId="40" w16cid:durableId="680668399">
    <w:abstractNumId w:val="0"/>
  </w:num>
  <w:num w:numId="41" w16cid:durableId="1668512457">
    <w:abstractNumId w:val="4"/>
  </w:num>
  <w:num w:numId="42" w16cid:durableId="1823159197">
    <w:abstractNumId w:val="10"/>
  </w:num>
  <w:num w:numId="43" w16cid:durableId="1602953605">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16"/>
    <w:rsid w:val="000059A9"/>
    <w:rsid w:val="000306E2"/>
    <w:rsid w:val="00037130"/>
    <w:rsid w:val="00037AFF"/>
    <w:rsid w:val="00037DDB"/>
    <w:rsid w:val="000437E7"/>
    <w:rsid w:val="000465DB"/>
    <w:rsid w:val="0004789A"/>
    <w:rsid w:val="00054716"/>
    <w:rsid w:val="00066415"/>
    <w:rsid w:val="00077380"/>
    <w:rsid w:val="00082C30"/>
    <w:rsid w:val="00086D7A"/>
    <w:rsid w:val="000905E8"/>
    <w:rsid w:val="000967D0"/>
    <w:rsid w:val="00097825"/>
    <w:rsid w:val="000A4BDB"/>
    <w:rsid w:val="000B57DA"/>
    <w:rsid w:val="000C5C6F"/>
    <w:rsid w:val="000C7422"/>
    <w:rsid w:val="000D4F96"/>
    <w:rsid w:val="000D5E3B"/>
    <w:rsid w:val="000E0207"/>
    <w:rsid w:val="000E12F4"/>
    <w:rsid w:val="000E61E9"/>
    <w:rsid w:val="000F4CD9"/>
    <w:rsid w:val="000F629A"/>
    <w:rsid w:val="001013C6"/>
    <w:rsid w:val="00107E33"/>
    <w:rsid w:val="00116B80"/>
    <w:rsid w:val="00120F1F"/>
    <w:rsid w:val="00124564"/>
    <w:rsid w:val="001258E9"/>
    <w:rsid w:val="00132518"/>
    <w:rsid w:val="00134FDC"/>
    <w:rsid w:val="00135F71"/>
    <w:rsid w:val="00144D5D"/>
    <w:rsid w:val="00153A83"/>
    <w:rsid w:val="0016075A"/>
    <w:rsid w:val="001656D8"/>
    <w:rsid w:val="0018370A"/>
    <w:rsid w:val="00193B13"/>
    <w:rsid w:val="001B6350"/>
    <w:rsid w:val="001D368D"/>
    <w:rsid w:val="001D76C8"/>
    <w:rsid w:val="00214688"/>
    <w:rsid w:val="00214F1F"/>
    <w:rsid w:val="00215B5B"/>
    <w:rsid w:val="002303F6"/>
    <w:rsid w:val="0023284A"/>
    <w:rsid w:val="002724FF"/>
    <w:rsid w:val="00276984"/>
    <w:rsid w:val="00283939"/>
    <w:rsid w:val="002A099D"/>
    <w:rsid w:val="002A1A72"/>
    <w:rsid w:val="002C7E32"/>
    <w:rsid w:val="002D082C"/>
    <w:rsid w:val="002D26CE"/>
    <w:rsid w:val="002E33E4"/>
    <w:rsid w:val="002F42BD"/>
    <w:rsid w:val="002F5AA3"/>
    <w:rsid w:val="00314844"/>
    <w:rsid w:val="003216D2"/>
    <w:rsid w:val="0033060F"/>
    <w:rsid w:val="00355F47"/>
    <w:rsid w:val="00356CD7"/>
    <w:rsid w:val="003646EB"/>
    <w:rsid w:val="0037322A"/>
    <w:rsid w:val="0039018B"/>
    <w:rsid w:val="003957F2"/>
    <w:rsid w:val="003C2299"/>
    <w:rsid w:val="003C7BF1"/>
    <w:rsid w:val="003E0DAC"/>
    <w:rsid w:val="003F2AC0"/>
    <w:rsid w:val="00431228"/>
    <w:rsid w:val="00437CD8"/>
    <w:rsid w:val="004413ED"/>
    <w:rsid w:val="00456059"/>
    <w:rsid w:val="00462E84"/>
    <w:rsid w:val="00463CD8"/>
    <w:rsid w:val="00463D1C"/>
    <w:rsid w:val="00481C69"/>
    <w:rsid w:val="00484573"/>
    <w:rsid w:val="004853FF"/>
    <w:rsid w:val="00497633"/>
    <w:rsid w:val="004A2A48"/>
    <w:rsid w:val="004A39D1"/>
    <w:rsid w:val="004A4394"/>
    <w:rsid w:val="004C2421"/>
    <w:rsid w:val="004C30E9"/>
    <w:rsid w:val="004E54E8"/>
    <w:rsid w:val="004E5768"/>
    <w:rsid w:val="004F263A"/>
    <w:rsid w:val="00502E85"/>
    <w:rsid w:val="00503B36"/>
    <w:rsid w:val="0051200D"/>
    <w:rsid w:val="00515FFE"/>
    <w:rsid w:val="00520972"/>
    <w:rsid w:val="005235C9"/>
    <w:rsid w:val="0053362F"/>
    <w:rsid w:val="00534B5B"/>
    <w:rsid w:val="00543369"/>
    <w:rsid w:val="00564E4E"/>
    <w:rsid w:val="00575456"/>
    <w:rsid w:val="00575BD1"/>
    <w:rsid w:val="0058210D"/>
    <w:rsid w:val="00597DDD"/>
    <w:rsid w:val="005A481A"/>
    <w:rsid w:val="005A5F58"/>
    <w:rsid w:val="005C2361"/>
    <w:rsid w:val="005C3241"/>
    <w:rsid w:val="005C32E2"/>
    <w:rsid w:val="005E6608"/>
    <w:rsid w:val="005F557D"/>
    <w:rsid w:val="00601015"/>
    <w:rsid w:val="00601C6F"/>
    <w:rsid w:val="00606580"/>
    <w:rsid w:val="006124A5"/>
    <w:rsid w:val="00626BFB"/>
    <w:rsid w:val="00630221"/>
    <w:rsid w:val="00642E7A"/>
    <w:rsid w:val="006431C4"/>
    <w:rsid w:val="006462B6"/>
    <w:rsid w:val="00650580"/>
    <w:rsid w:val="0065414B"/>
    <w:rsid w:val="00666A6B"/>
    <w:rsid w:val="00671D27"/>
    <w:rsid w:val="00672DB7"/>
    <w:rsid w:val="006752BF"/>
    <w:rsid w:val="00685164"/>
    <w:rsid w:val="00685717"/>
    <w:rsid w:val="006949C6"/>
    <w:rsid w:val="006A25DE"/>
    <w:rsid w:val="006D1B05"/>
    <w:rsid w:val="006E0580"/>
    <w:rsid w:val="006F4D1C"/>
    <w:rsid w:val="00701389"/>
    <w:rsid w:val="00702624"/>
    <w:rsid w:val="00716F12"/>
    <w:rsid w:val="00721D0D"/>
    <w:rsid w:val="007304AB"/>
    <w:rsid w:val="00741BA9"/>
    <w:rsid w:val="00747C67"/>
    <w:rsid w:val="00754030"/>
    <w:rsid w:val="0076056C"/>
    <w:rsid w:val="0076107C"/>
    <w:rsid w:val="00763442"/>
    <w:rsid w:val="00770058"/>
    <w:rsid w:val="0077149F"/>
    <w:rsid w:val="00773BDA"/>
    <w:rsid w:val="007741D6"/>
    <w:rsid w:val="00777B41"/>
    <w:rsid w:val="00780850"/>
    <w:rsid w:val="00780FFD"/>
    <w:rsid w:val="00783320"/>
    <w:rsid w:val="007878BF"/>
    <w:rsid w:val="00793F77"/>
    <w:rsid w:val="007971EE"/>
    <w:rsid w:val="00797AED"/>
    <w:rsid w:val="007A3062"/>
    <w:rsid w:val="007A55CB"/>
    <w:rsid w:val="007B5D60"/>
    <w:rsid w:val="007C3F87"/>
    <w:rsid w:val="007C4FA6"/>
    <w:rsid w:val="007D6255"/>
    <w:rsid w:val="007D7DD0"/>
    <w:rsid w:val="00804270"/>
    <w:rsid w:val="00807337"/>
    <w:rsid w:val="00810405"/>
    <w:rsid w:val="00821441"/>
    <w:rsid w:val="00822442"/>
    <w:rsid w:val="008242E1"/>
    <w:rsid w:val="008274EF"/>
    <w:rsid w:val="0086183E"/>
    <w:rsid w:val="00864125"/>
    <w:rsid w:val="00872FFC"/>
    <w:rsid w:val="008976E3"/>
    <w:rsid w:val="008A372F"/>
    <w:rsid w:val="008B1266"/>
    <w:rsid w:val="008B2529"/>
    <w:rsid w:val="008B311E"/>
    <w:rsid w:val="008D1969"/>
    <w:rsid w:val="008D3399"/>
    <w:rsid w:val="008D4BF9"/>
    <w:rsid w:val="008D7B85"/>
    <w:rsid w:val="008E30F4"/>
    <w:rsid w:val="008E4EDB"/>
    <w:rsid w:val="008F1150"/>
    <w:rsid w:val="008F615E"/>
    <w:rsid w:val="008F7F44"/>
    <w:rsid w:val="00903654"/>
    <w:rsid w:val="0090628B"/>
    <w:rsid w:val="00910908"/>
    <w:rsid w:val="009327CC"/>
    <w:rsid w:val="00932E30"/>
    <w:rsid w:val="009528D4"/>
    <w:rsid w:val="00965858"/>
    <w:rsid w:val="00972EC0"/>
    <w:rsid w:val="009732E5"/>
    <w:rsid w:val="009772C8"/>
    <w:rsid w:val="00977B43"/>
    <w:rsid w:val="00977F26"/>
    <w:rsid w:val="009855EE"/>
    <w:rsid w:val="00993772"/>
    <w:rsid w:val="00995341"/>
    <w:rsid w:val="00995C09"/>
    <w:rsid w:val="0099670C"/>
    <w:rsid w:val="009A3D18"/>
    <w:rsid w:val="009C1C63"/>
    <w:rsid w:val="009C2EC5"/>
    <w:rsid w:val="009C6665"/>
    <w:rsid w:val="009D0B61"/>
    <w:rsid w:val="009D255E"/>
    <w:rsid w:val="009D6F5F"/>
    <w:rsid w:val="009E62E0"/>
    <w:rsid w:val="009E714A"/>
    <w:rsid w:val="009F2FE7"/>
    <w:rsid w:val="00A201C5"/>
    <w:rsid w:val="00A235A3"/>
    <w:rsid w:val="00A240C9"/>
    <w:rsid w:val="00A3780C"/>
    <w:rsid w:val="00A5003C"/>
    <w:rsid w:val="00A52C28"/>
    <w:rsid w:val="00A554CD"/>
    <w:rsid w:val="00AA1465"/>
    <w:rsid w:val="00AB055B"/>
    <w:rsid w:val="00AB3CC6"/>
    <w:rsid w:val="00AB63D9"/>
    <w:rsid w:val="00AB649E"/>
    <w:rsid w:val="00AC21F2"/>
    <w:rsid w:val="00AE168B"/>
    <w:rsid w:val="00AE6271"/>
    <w:rsid w:val="00AE6886"/>
    <w:rsid w:val="00AF298B"/>
    <w:rsid w:val="00B00B49"/>
    <w:rsid w:val="00B053CB"/>
    <w:rsid w:val="00B0786A"/>
    <w:rsid w:val="00B15227"/>
    <w:rsid w:val="00B30574"/>
    <w:rsid w:val="00B3152B"/>
    <w:rsid w:val="00B3168D"/>
    <w:rsid w:val="00B46D1A"/>
    <w:rsid w:val="00B50BF9"/>
    <w:rsid w:val="00B517A4"/>
    <w:rsid w:val="00B51B3B"/>
    <w:rsid w:val="00B57664"/>
    <w:rsid w:val="00B61122"/>
    <w:rsid w:val="00B63AA5"/>
    <w:rsid w:val="00B674D4"/>
    <w:rsid w:val="00B67CED"/>
    <w:rsid w:val="00B747BC"/>
    <w:rsid w:val="00B775FC"/>
    <w:rsid w:val="00B843EF"/>
    <w:rsid w:val="00B96C99"/>
    <w:rsid w:val="00BB082B"/>
    <w:rsid w:val="00BD0666"/>
    <w:rsid w:val="00BF036F"/>
    <w:rsid w:val="00C06AF1"/>
    <w:rsid w:val="00C2576D"/>
    <w:rsid w:val="00C340E7"/>
    <w:rsid w:val="00C35752"/>
    <w:rsid w:val="00C412A3"/>
    <w:rsid w:val="00C424E3"/>
    <w:rsid w:val="00C46488"/>
    <w:rsid w:val="00C552CC"/>
    <w:rsid w:val="00C83C43"/>
    <w:rsid w:val="00C84B14"/>
    <w:rsid w:val="00C94E60"/>
    <w:rsid w:val="00C95BF1"/>
    <w:rsid w:val="00CA5041"/>
    <w:rsid w:val="00CA7C5D"/>
    <w:rsid w:val="00CC44EB"/>
    <w:rsid w:val="00CD1AF5"/>
    <w:rsid w:val="00CD5DD8"/>
    <w:rsid w:val="00CE14D6"/>
    <w:rsid w:val="00CE2423"/>
    <w:rsid w:val="00CF56EB"/>
    <w:rsid w:val="00D0354D"/>
    <w:rsid w:val="00D122FE"/>
    <w:rsid w:val="00D1708E"/>
    <w:rsid w:val="00D24805"/>
    <w:rsid w:val="00D32B65"/>
    <w:rsid w:val="00D462B1"/>
    <w:rsid w:val="00D575D6"/>
    <w:rsid w:val="00D65FF2"/>
    <w:rsid w:val="00D71C9D"/>
    <w:rsid w:val="00D94111"/>
    <w:rsid w:val="00DA3DB4"/>
    <w:rsid w:val="00DB462F"/>
    <w:rsid w:val="00DC0781"/>
    <w:rsid w:val="00DC49F2"/>
    <w:rsid w:val="00DD0980"/>
    <w:rsid w:val="00DD47D0"/>
    <w:rsid w:val="00DE082B"/>
    <w:rsid w:val="00DE088C"/>
    <w:rsid w:val="00DE51D9"/>
    <w:rsid w:val="00DF503E"/>
    <w:rsid w:val="00DF6566"/>
    <w:rsid w:val="00E03835"/>
    <w:rsid w:val="00E1340E"/>
    <w:rsid w:val="00E17430"/>
    <w:rsid w:val="00E35484"/>
    <w:rsid w:val="00E64614"/>
    <w:rsid w:val="00E65470"/>
    <w:rsid w:val="00E65D3D"/>
    <w:rsid w:val="00E818D3"/>
    <w:rsid w:val="00E878CB"/>
    <w:rsid w:val="00E92C7B"/>
    <w:rsid w:val="00EA147C"/>
    <w:rsid w:val="00EA2D5B"/>
    <w:rsid w:val="00EA4801"/>
    <w:rsid w:val="00EB76B6"/>
    <w:rsid w:val="00ED22CC"/>
    <w:rsid w:val="00ED28DE"/>
    <w:rsid w:val="00ED2BD3"/>
    <w:rsid w:val="00EE1C02"/>
    <w:rsid w:val="00EF393A"/>
    <w:rsid w:val="00EF7B29"/>
    <w:rsid w:val="00F07178"/>
    <w:rsid w:val="00F107AA"/>
    <w:rsid w:val="00F14E56"/>
    <w:rsid w:val="00F15DFB"/>
    <w:rsid w:val="00F25A0E"/>
    <w:rsid w:val="00F3069C"/>
    <w:rsid w:val="00F323F5"/>
    <w:rsid w:val="00F34926"/>
    <w:rsid w:val="00F47925"/>
    <w:rsid w:val="00F55070"/>
    <w:rsid w:val="00F61144"/>
    <w:rsid w:val="00F6432D"/>
    <w:rsid w:val="00F82BD9"/>
    <w:rsid w:val="00F9612F"/>
    <w:rsid w:val="00FA0FC2"/>
    <w:rsid w:val="00FC2B42"/>
    <w:rsid w:val="00FE1B0E"/>
    <w:rsid w:val="00FE4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A9D074B"/>
  <w15:chartTrackingRefBased/>
  <w15:docId w15:val="{44D3D4DB-EB1C-460E-892B-0ADB1EF4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D1C"/>
    <w:pPr>
      <w:spacing w:after="200" w:line="276" w:lineRule="auto"/>
    </w:pPr>
    <w:rPr>
      <w:sz w:val="22"/>
      <w:szCs w:val="22"/>
      <w:lang w:bidi="en-US"/>
    </w:rPr>
  </w:style>
  <w:style w:type="paragraph" w:styleId="Heading1">
    <w:name w:val="heading 1"/>
    <w:basedOn w:val="Normal"/>
    <w:next w:val="Normal"/>
    <w:link w:val="Heading1Char"/>
    <w:uiPriority w:val="9"/>
    <w:qFormat/>
    <w:rsid w:val="000967D0"/>
    <w:pPr>
      <w:keepNext/>
      <w:keepLines/>
      <w:spacing w:after="0"/>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AB649E"/>
    <w:pPr>
      <w:keepNext/>
      <w:keepLines/>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0967D0"/>
    <w:pPr>
      <w:keepNext/>
      <w:keepLines/>
      <w:spacing w:before="200" w:after="0"/>
      <w:outlineLvl w:val="2"/>
    </w:pPr>
    <w:rPr>
      <w:rFonts w:ascii="Cambria" w:hAnsi="Cambria"/>
      <w:b/>
      <w:bCs/>
    </w:rPr>
  </w:style>
  <w:style w:type="paragraph" w:styleId="Heading4">
    <w:name w:val="heading 4"/>
    <w:basedOn w:val="Normal"/>
    <w:next w:val="Normal"/>
    <w:link w:val="Heading4Char"/>
    <w:uiPriority w:val="9"/>
    <w:semiHidden/>
    <w:unhideWhenUsed/>
    <w:qFormat/>
    <w:rsid w:val="00C412A3"/>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C412A3"/>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412A3"/>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C412A3"/>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412A3"/>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unhideWhenUsed/>
    <w:qFormat/>
    <w:rsid w:val="00C412A3"/>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7D0"/>
    <w:rPr>
      <w:rFonts w:ascii="Cambria" w:hAnsi="Cambria"/>
      <w:b/>
      <w:bCs/>
      <w:sz w:val="32"/>
      <w:szCs w:val="28"/>
      <w:lang w:bidi="en-US"/>
    </w:rPr>
  </w:style>
  <w:style w:type="character" w:customStyle="1" w:styleId="Heading2Char">
    <w:name w:val="Heading 2 Char"/>
    <w:link w:val="Heading2"/>
    <w:uiPriority w:val="9"/>
    <w:rsid w:val="00AB649E"/>
    <w:rPr>
      <w:rFonts w:ascii="Cambria" w:eastAsia="Times New Roman" w:hAnsi="Cambria" w:cs="Times New Roman"/>
      <w:b/>
      <w:bCs/>
      <w:sz w:val="26"/>
      <w:szCs w:val="26"/>
    </w:rPr>
  </w:style>
  <w:style w:type="character" w:customStyle="1" w:styleId="Heading3Char">
    <w:name w:val="Heading 3 Char"/>
    <w:link w:val="Heading3"/>
    <w:uiPriority w:val="9"/>
    <w:rsid w:val="000967D0"/>
    <w:rPr>
      <w:rFonts w:ascii="Cambria" w:hAnsi="Cambria"/>
      <w:b/>
      <w:bCs/>
      <w:sz w:val="22"/>
      <w:szCs w:val="22"/>
      <w:lang w:bidi="en-US"/>
    </w:rPr>
  </w:style>
  <w:style w:type="character" w:customStyle="1" w:styleId="Heading4Char">
    <w:name w:val="Heading 4 Char"/>
    <w:link w:val="Heading4"/>
    <w:uiPriority w:val="9"/>
    <w:rsid w:val="00C412A3"/>
    <w:rPr>
      <w:rFonts w:ascii="Cambria" w:eastAsia="Times New Roman" w:hAnsi="Cambria" w:cs="Times New Roman"/>
      <w:b/>
      <w:bCs/>
      <w:i/>
      <w:iCs/>
      <w:color w:val="4F81BD"/>
    </w:rPr>
  </w:style>
  <w:style w:type="character" w:customStyle="1" w:styleId="Heading5Char">
    <w:name w:val="Heading 5 Char"/>
    <w:link w:val="Heading5"/>
    <w:uiPriority w:val="9"/>
    <w:rsid w:val="00C412A3"/>
    <w:rPr>
      <w:rFonts w:ascii="Cambria" w:eastAsia="Times New Roman" w:hAnsi="Cambria" w:cs="Times New Roman"/>
      <w:color w:val="243F60"/>
    </w:rPr>
  </w:style>
  <w:style w:type="character" w:customStyle="1" w:styleId="Heading6Char">
    <w:name w:val="Heading 6 Char"/>
    <w:link w:val="Heading6"/>
    <w:uiPriority w:val="9"/>
    <w:rsid w:val="00C412A3"/>
    <w:rPr>
      <w:rFonts w:ascii="Cambria" w:eastAsia="Times New Roman" w:hAnsi="Cambria" w:cs="Times New Roman"/>
      <w:i/>
      <w:iCs/>
      <w:color w:val="243F60"/>
    </w:rPr>
  </w:style>
  <w:style w:type="character" w:customStyle="1" w:styleId="Heading7Char">
    <w:name w:val="Heading 7 Char"/>
    <w:link w:val="Heading7"/>
    <w:uiPriority w:val="9"/>
    <w:rsid w:val="00C412A3"/>
    <w:rPr>
      <w:rFonts w:ascii="Cambria" w:eastAsia="Times New Roman" w:hAnsi="Cambria" w:cs="Times New Roman"/>
      <w:i/>
      <w:iCs/>
      <w:color w:val="404040"/>
    </w:rPr>
  </w:style>
  <w:style w:type="character" w:customStyle="1" w:styleId="Heading8Char">
    <w:name w:val="Heading 8 Char"/>
    <w:link w:val="Heading8"/>
    <w:uiPriority w:val="9"/>
    <w:rsid w:val="00C412A3"/>
    <w:rPr>
      <w:rFonts w:ascii="Cambria" w:eastAsia="Times New Roman" w:hAnsi="Cambria" w:cs="Times New Roman"/>
      <w:color w:val="4F81BD"/>
      <w:sz w:val="20"/>
      <w:szCs w:val="20"/>
    </w:rPr>
  </w:style>
  <w:style w:type="character" w:customStyle="1" w:styleId="Heading9Char">
    <w:name w:val="Heading 9 Char"/>
    <w:link w:val="Heading9"/>
    <w:uiPriority w:val="9"/>
    <w:rsid w:val="00C412A3"/>
    <w:rPr>
      <w:rFonts w:ascii="Cambria" w:eastAsia="Times New Roman" w:hAnsi="Cambria" w:cs="Times New Roman"/>
      <w:i/>
      <w:iCs/>
      <w:color w:val="404040"/>
      <w:sz w:val="20"/>
      <w:szCs w:val="20"/>
    </w:rPr>
  </w:style>
  <w:style w:type="character" w:styleId="Hyperlink">
    <w:name w:val="Hyperlink"/>
    <w:uiPriority w:val="99"/>
    <w:rsid w:val="000F4CD9"/>
    <w:rPr>
      <w:color w:val="0000FF"/>
      <w:u w:val="single"/>
    </w:rPr>
  </w:style>
  <w:style w:type="paragraph" w:customStyle="1" w:styleId="Name">
    <w:name w:val="Name"/>
    <w:basedOn w:val="NoSpacing"/>
    <w:link w:val="NameChar"/>
    <w:qFormat/>
    <w:rsid w:val="00F323F5"/>
    <w:pPr>
      <w:jc w:val="right"/>
    </w:pPr>
  </w:style>
  <w:style w:type="paragraph" w:styleId="NoSpacing">
    <w:name w:val="No Spacing"/>
    <w:link w:val="NoSpacingChar"/>
    <w:uiPriority w:val="1"/>
    <w:qFormat/>
    <w:rsid w:val="00C412A3"/>
    <w:rPr>
      <w:sz w:val="22"/>
      <w:szCs w:val="22"/>
      <w:lang w:bidi="en-US"/>
    </w:rPr>
  </w:style>
  <w:style w:type="character" w:customStyle="1" w:styleId="NoSpacingChar">
    <w:name w:val="No Spacing Char"/>
    <w:link w:val="NoSpacing"/>
    <w:uiPriority w:val="1"/>
    <w:rsid w:val="00503B36"/>
    <w:rPr>
      <w:sz w:val="22"/>
      <w:szCs w:val="22"/>
      <w:lang w:val="en-US" w:eastAsia="en-US" w:bidi="en-US"/>
    </w:rPr>
  </w:style>
  <w:style w:type="character" w:customStyle="1" w:styleId="NameChar">
    <w:name w:val="Name Char"/>
    <w:basedOn w:val="NoSpacingChar"/>
    <w:link w:val="Name"/>
    <w:rsid w:val="00F323F5"/>
    <w:rPr>
      <w:sz w:val="22"/>
      <w:szCs w:val="22"/>
      <w:lang w:val="en-US" w:eastAsia="en-US" w:bidi="en-US"/>
    </w:rPr>
  </w:style>
  <w:style w:type="table" w:styleId="TableGrid">
    <w:name w:val="Table Grid"/>
    <w:basedOn w:val="TableNormal"/>
    <w:rsid w:val="000F4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12A3"/>
    <w:pPr>
      <w:spacing w:line="240" w:lineRule="auto"/>
    </w:pPr>
    <w:rPr>
      <w:b/>
      <w:bCs/>
      <w:color w:val="4F81BD"/>
      <w:sz w:val="18"/>
      <w:szCs w:val="18"/>
    </w:rPr>
  </w:style>
  <w:style w:type="paragraph" w:styleId="Header">
    <w:name w:val="header"/>
    <w:basedOn w:val="Normal"/>
    <w:link w:val="HeaderChar"/>
    <w:rsid w:val="00456059"/>
    <w:pPr>
      <w:pBdr>
        <w:bottom w:val="single" w:sz="4" w:space="1" w:color="auto"/>
      </w:pBdr>
      <w:tabs>
        <w:tab w:val="center" w:pos="4320"/>
        <w:tab w:val="right" w:pos="8640"/>
      </w:tabs>
      <w:spacing w:after="0" w:line="240" w:lineRule="auto"/>
    </w:pPr>
  </w:style>
  <w:style w:type="character" w:customStyle="1" w:styleId="HeaderChar">
    <w:name w:val="Header Char"/>
    <w:link w:val="Header"/>
    <w:rsid w:val="00456059"/>
    <w:rPr>
      <w:sz w:val="22"/>
      <w:szCs w:val="22"/>
      <w:lang w:bidi="en-US"/>
    </w:rPr>
  </w:style>
  <w:style w:type="paragraph" w:styleId="Footer">
    <w:name w:val="footer"/>
    <w:basedOn w:val="Normal"/>
    <w:link w:val="FooterChar"/>
    <w:rsid w:val="000F4CD9"/>
    <w:pPr>
      <w:tabs>
        <w:tab w:val="center" w:pos="4320"/>
        <w:tab w:val="right" w:pos="8640"/>
      </w:tabs>
    </w:pPr>
    <w:rPr>
      <w:sz w:val="20"/>
    </w:rPr>
  </w:style>
  <w:style w:type="character" w:customStyle="1" w:styleId="FooterChar">
    <w:name w:val="Footer Char"/>
    <w:link w:val="Footer"/>
    <w:uiPriority w:val="99"/>
    <w:rsid w:val="00575BD1"/>
    <w:rPr>
      <w:szCs w:val="22"/>
      <w:lang w:bidi="en-US"/>
    </w:rPr>
  </w:style>
  <w:style w:type="character" w:styleId="PageNumber">
    <w:name w:val="page number"/>
    <w:basedOn w:val="DefaultParagraphFont"/>
    <w:rsid w:val="000F4CD9"/>
  </w:style>
  <w:style w:type="paragraph" w:styleId="BalloonText">
    <w:name w:val="Balloon Text"/>
    <w:basedOn w:val="Normal"/>
    <w:semiHidden/>
    <w:rsid w:val="003957F2"/>
    <w:rPr>
      <w:rFonts w:ascii="Tahoma" w:hAnsi="Tahoma" w:cs="Tahoma"/>
      <w:sz w:val="16"/>
      <w:szCs w:val="16"/>
    </w:rPr>
  </w:style>
  <w:style w:type="paragraph" w:customStyle="1" w:styleId="WorksheetQuestions">
    <w:name w:val="Worksheet Questions"/>
    <w:basedOn w:val="Normal"/>
    <w:link w:val="WorksheetQuestionsChar"/>
    <w:qFormat/>
    <w:rsid w:val="00F323F5"/>
    <w:pPr>
      <w:numPr>
        <w:numId w:val="1"/>
      </w:numPr>
    </w:pPr>
  </w:style>
  <w:style w:type="character" w:customStyle="1" w:styleId="WorksheetQuestionsChar">
    <w:name w:val="Worksheet Questions Char"/>
    <w:link w:val="WorksheetQuestions"/>
    <w:rsid w:val="00F323F5"/>
    <w:rPr>
      <w:sz w:val="22"/>
      <w:szCs w:val="22"/>
      <w:lang w:bidi="en-US"/>
    </w:rPr>
  </w:style>
  <w:style w:type="paragraph" w:styleId="Title">
    <w:name w:val="Title"/>
    <w:basedOn w:val="Normal"/>
    <w:next w:val="Normal"/>
    <w:link w:val="TitleChar"/>
    <w:uiPriority w:val="10"/>
    <w:qFormat/>
    <w:rsid w:val="0099670C"/>
    <w:pPr>
      <w:pageBreakBefore/>
      <w:pBdr>
        <w:bottom w:val="single" w:sz="8" w:space="4" w:color="4F81BD"/>
      </w:pBdr>
      <w:spacing w:after="300" w:line="240" w:lineRule="auto"/>
      <w:contextualSpacing/>
      <w:jc w:val="center"/>
    </w:pPr>
    <w:rPr>
      <w:rFonts w:ascii="Cambria" w:hAnsi="Cambria"/>
      <w:spacing w:val="5"/>
      <w:kern w:val="28"/>
      <w:sz w:val="40"/>
      <w:szCs w:val="52"/>
    </w:rPr>
  </w:style>
  <w:style w:type="character" w:customStyle="1" w:styleId="TitleChar">
    <w:name w:val="Title Char"/>
    <w:link w:val="Title"/>
    <w:uiPriority w:val="10"/>
    <w:rsid w:val="0099670C"/>
    <w:rPr>
      <w:rFonts w:ascii="Cambria" w:hAnsi="Cambria"/>
      <w:spacing w:val="5"/>
      <w:kern w:val="28"/>
      <w:sz w:val="40"/>
      <w:szCs w:val="52"/>
      <w:lang w:bidi="en-US"/>
    </w:rPr>
  </w:style>
  <w:style w:type="paragraph" w:styleId="Subtitle">
    <w:name w:val="Subtitle"/>
    <w:basedOn w:val="Normal"/>
    <w:next w:val="Normal"/>
    <w:link w:val="SubtitleChar"/>
    <w:uiPriority w:val="11"/>
    <w:qFormat/>
    <w:rsid w:val="00C412A3"/>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C412A3"/>
    <w:rPr>
      <w:rFonts w:ascii="Cambria" w:eastAsia="Times New Roman" w:hAnsi="Cambria" w:cs="Times New Roman"/>
      <w:i/>
      <w:iCs/>
      <w:color w:val="4F81BD"/>
      <w:spacing w:val="15"/>
      <w:sz w:val="24"/>
      <w:szCs w:val="24"/>
    </w:rPr>
  </w:style>
  <w:style w:type="character" w:styleId="Strong">
    <w:name w:val="Strong"/>
    <w:uiPriority w:val="22"/>
    <w:qFormat/>
    <w:rsid w:val="00C412A3"/>
    <w:rPr>
      <w:b/>
      <w:bCs/>
    </w:rPr>
  </w:style>
  <w:style w:type="character" w:styleId="Emphasis">
    <w:name w:val="Emphasis"/>
    <w:uiPriority w:val="20"/>
    <w:qFormat/>
    <w:rsid w:val="00C412A3"/>
    <w:rPr>
      <w:i/>
      <w:iCs/>
    </w:rPr>
  </w:style>
  <w:style w:type="paragraph" w:styleId="ListParagraph">
    <w:name w:val="List Paragraph"/>
    <w:basedOn w:val="Normal"/>
    <w:uiPriority w:val="34"/>
    <w:qFormat/>
    <w:rsid w:val="00C412A3"/>
    <w:pPr>
      <w:ind w:left="720"/>
      <w:contextualSpacing/>
    </w:pPr>
  </w:style>
  <w:style w:type="paragraph" w:styleId="Quote">
    <w:name w:val="Quote"/>
    <w:basedOn w:val="Normal"/>
    <w:next w:val="Normal"/>
    <w:link w:val="QuoteChar"/>
    <w:uiPriority w:val="29"/>
    <w:qFormat/>
    <w:rsid w:val="00C412A3"/>
    <w:rPr>
      <w:i/>
      <w:iCs/>
      <w:color w:val="000000"/>
    </w:rPr>
  </w:style>
  <w:style w:type="character" w:customStyle="1" w:styleId="QuoteChar">
    <w:name w:val="Quote Char"/>
    <w:link w:val="Quote"/>
    <w:uiPriority w:val="29"/>
    <w:rsid w:val="00C412A3"/>
    <w:rPr>
      <w:i/>
      <w:iCs/>
      <w:color w:val="000000"/>
    </w:rPr>
  </w:style>
  <w:style w:type="paragraph" w:styleId="IntenseQuote">
    <w:name w:val="Intense Quote"/>
    <w:basedOn w:val="Normal"/>
    <w:next w:val="Normal"/>
    <w:link w:val="IntenseQuoteChar"/>
    <w:uiPriority w:val="30"/>
    <w:qFormat/>
    <w:rsid w:val="00C412A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412A3"/>
    <w:rPr>
      <w:b/>
      <w:bCs/>
      <w:i/>
      <w:iCs/>
      <w:color w:val="4F81BD"/>
    </w:rPr>
  </w:style>
  <w:style w:type="character" w:styleId="SubtleEmphasis">
    <w:name w:val="Subtle Emphasis"/>
    <w:uiPriority w:val="19"/>
    <w:qFormat/>
    <w:rsid w:val="00C412A3"/>
    <w:rPr>
      <w:i/>
      <w:iCs/>
      <w:color w:val="808080"/>
    </w:rPr>
  </w:style>
  <w:style w:type="character" w:styleId="IntenseEmphasis">
    <w:name w:val="Intense Emphasis"/>
    <w:uiPriority w:val="21"/>
    <w:qFormat/>
    <w:rsid w:val="00C412A3"/>
    <w:rPr>
      <w:b/>
      <w:bCs/>
      <w:i/>
      <w:iCs/>
      <w:color w:val="4F81BD"/>
    </w:rPr>
  </w:style>
  <w:style w:type="character" w:styleId="SubtleReference">
    <w:name w:val="Subtle Reference"/>
    <w:uiPriority w:val="31"/>
    <w:qFormat/>
    <w:rsid w:val="00C412A3"/>
    <w:rPr>
      <w:smallCaps/>
      <w:color w:val="C0504D"/>
      <w:u w:val="single"/>
    </w:rPr>
  </w:style>
  <w:style w:type="character" w:styleId="IntenseReference">
    <w:name w:val="Intense Reference"/>
    <w:uiPriority w:val="32"/>
    <w:qFormat/>
    <w:rsid w:val="00C412A3"/>
    <w:rPr>
      <w:b/>
      <w:bCs/>
      <w:smallCaps/>
      <w:color w:val="C0504D"/>
      <w:spacing w:val="5"/>
      <w:u w:val="single"/>
    </w:rPr>
  </w:style>
  <w:style w:type="character" w:styleId="BookTitle">
    <w:name w:val="Book Title"/>
    <w:uiPriority w:val="33"/>
    <w:qFormat/>
    <w:rsid w:val="00C412A3"/>
    <w:rPr>
      <w:b/>
      <w:bCs/>
      <w:smallCaps/>
      <w:spacing w:val="5"/>
    </w:rPr>
  </w:style>
  <w:style w:type="paragraph" w:styleId="TOCHeading">
    <w:name w:val="TOC Heading"/>
    <w:basedOn w:val="Heading1"/>
    <w:next w:val="Normal"/>
    <w:uiPriority w:val="39"/>
    <w:semiHidden/>
    <w:unhideWhenUsed/>
    <w:qFormat/>
    <w:rsid w:val="00C412A3"/>
    <w:pPr>
      <w:outlineLvl w:val="9"/>
    </w:pPr>
  </w:style>
  <w:style w:type="paragraph" w:customStyle="1" w:styleId="Std1">
    <w:name w:val="Std 1"/>
    <w:basedOn w:val="Normal"/>
    <w:link w:val="Std1Char"/>
    <w:qFormat/>
    <w:rsid w:val="00132518"/>
    <w:pPr>
      <w:tabs>
        <w:tab w:val="left" w:pos="1260"/>
      </w:tabs>
      <w:autoSpaceDE w:val="0"/>
      <w:autoSpaceDN w:val="0"/>
      <w:adjustRightInd w:val="0"/>
      <w:spacing w:before="60" w:after="0" w:line="240" w:lineRule="auto"/>
      <w:ind w:left="547" w:hanging="547"/>
    </w:pPr>
    <w:rPr>
      <w:rFonts w:cs="Palatino-Italic"/>
      <w:iCs/>
      <w:szCs w:val="24"/>
      <w:lang w:bidi="ar-SA"/>
    </w:rPr>
  </w:style>
  <w:style w:type="character" w:customStyle="1" w:styleId="Std1Char">
    <w:name w:val="Std 1 Char"/>
    <w:link w:val="Std1"/>
    <w:rsid w:val="00132518"/>
    <w:rPr>
      <w:rFonts w:cs="Palatino-Italic"/>
      <w:iCs/>
      <w:sz w:val="22"/>
      <w:szCs w:val="24"/>
    </w:rPr>
  </w:style>
  <w:style w:type="paragraph" w:customStyle="1" w:styleId="Std2">
    <w:name w:val="Std 2"/>
    <w:basedOn w:val="Normal"/>
    <w:link w:val="Std2Char"/>
    <w:qFormat/>
    <w:rsid w:val="00132518"/>
    <w:pPr>
      <w:tabs>
        <w:tab w:val="left" w:pos="1620"/>
      </w:tabs>
      <w:autoSpaceDE w:val="0"/>
      <w:autoSpaceDN w:val="0"/>
      <w:adjustRightInd w:val="0"/>
      <w:spacing w:after="0" w:line="240" w:lineRule="auto"/>
      <w:ind w:left="1267" w:hanging="547"/>
    </w:pPr>
    <w:rPr>
      <w:rFonts w:cs="Palatino-Roman"/>
      <w:lang w:bidi="ar-SA"/>
    </w:rPr>
  </w:style>
  <w:style w:type="character" w:customStyle="1" w:styleId="Std2Char">
    <w:name w:val="Std 2 Char"/>
    <w:link w:val="Std2"/>
    <w:rsid w:val="00132518"/>
    <w:rPr>
      <w:rFonts w:cs="Palatino-Roman"/>
      <w:sz w:val="22"/>
      <w:szCs w:val="22"/>
    </w:rPr>
  </w:style>
  <w:style w:type="paragraph" w:customStyle="1" w:styleId="Bullets">
    <w:name w:val="Bullets"/>
    <w:basedOn w:val="Normal"/>
    <w:link w:val="BulletsChar"/>
    <w:qFormat/>
    <w:rsid w:val="00503B36"/>
    <w:pPr>
      <w:numPr>
        <w:numId w:val="2"/>
      </w:numPr>
      <w:spacing w:after="0"/>
    </w:pPr>
  </w:style>
  <w:style w:type="character" w:customStyle="1" w:styleId="BulletsChar">
    <w:name w:val="Bullets Char"/>
    <w:link w:val="Bullets"/>
    <w:rsid w:val="00503B36"/>
    <w:rPr>
      <w:sz w:val="22"/>
      <w:szCs w:val="22"/>
      <w:lang w:bidi="en-US"/>
    </w:rPr>
  </w:style>
  <w:style w:type="paragraph" w:customStyle="1" w:styleId="Directions">
    <w:name w:val="Directions"/>
    <w:basedOn w:val="NoSpacing"/>
    <w:link w:val="DirectionsChar"/>
    <w:qFormat/>
    <w:rsid w:val="00F323F5"/>
    <w:pPr>
      <w:numPr>
        <w:numId w:val="16"/>
      </w:numPr>
    </w:pPr>
  </w:style>
  <w:style w:type="paragraph" w:customStyle="1" w:styleId="Default">
    <w:name w:val="Default"/>
    <w:rsid w:val="00575BD1"/>
    <w:pPr>
      <w:autoSpaceDE w:val="0"/>
      <w:autoSpaceDN w:val="0"/>
      <w:adjustRightInd w:val="0"/>
    </w:pPr>
    <w:rPr>
      <w:rFonts w:ascii="LGGNN L+ Palatino" w:hAnsi="LGGNN L+ Palatino" w:cs="LGGNN L+ Palatino"/>
      <w:color w:val="000000"/>
      <w:sz w:val="24"/>
      <w:szCs w:val="24"/>
    </w:rPr>
  </w:style>
  <w:style w:type="character" w:customStyle="1" w:styleId="DirectionsChar">
    <w:name w:val="Directions Char"/>
    <w:basedOn w:val="NoSpacingChar"/>
    <w:link w:val="Directions"/>
    <w:rsid w:val="00503B36"/>
    <w:rPr>
      <w:sz w:val="22"/>
      <w:szCs w:val="22"/>
      <w:lang w:val="en-US" w:eastAsia="en-US" w:bidi="en-US"/>
    </w:rPr>
  </w:style>
  <w:style w:type="character" w:customStyle="1" w:styleId="NoSpacingCharChar">
    <w:name w:val="No Spacing Char Char"/>
    <w:uiPriority w:val="1"/>
    <w:rsid w:val="00575BD1"/>
    <w:rPr>
      <w:sz w:val="22"/>
      <w:szCs w:val="22"/>
      <w:lang w:val="en-US" w:eastAsia="en-US" w:bidi="en-US"/>
    </w:rPr>
  </w:style>
  <w:style w:type="table" w:customStyle="1" w:styleId="LightShading1">
    <w:name w:val="Light Shading1"/>
    <w:basedOn w:val="TableNormal"/>
    <w:uiPriority w:val="60"/>
    <w:rsid w:val="00575BD1"/>
    <w:rPr>
      <w:rFonts w:eastAsia="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1">
    <w:name w:val="toc 1"/>
    <w:basedOn w:val="Normal"/>
    <w:next w:val="Normal"/>
    <w:autoRedefine/>
    <w:uiPriority w:val="39"/>
    <w:qFormat/>
    <w:rsid w:val="004A2A48"/>
    <w:pPr>
      <w:tabs>
        <w:tab w:val="right" w:pos="8990"/>
      </w:tabs>
      <w:spacing w:after="0"/>
    </w:pPr>
    <w:rPr>
      <w:rFonts w:cs="Calibri"/>
      <w:bCs/>
      <w:noProof/>
      <w:sz w:val="24"/>
      <w:szCs w:val="20"/>
    </w:rPr>
  </w:style>
  <w:style w:type="paragraph" w:styleId="TOC2">
    <w:name w:val="toc 2"/>
    <w:basedOn w:val="Normal"/>
    <w:next w:val="Normal"/>
    <w:autoRedefine/>
    <w:uiPriority w:val="39"/>
    <w:qFormat/>
    <w:rsid w:val="000A4BDB"/>
    <w:pPr>
      <w:spacing w:before="120" w:after="0"/>
      <w:ind w:left="220"/>
    </w:pPr>
    <w:rPr>
      <w:rFonts w:cs="Calibri"/>
      <w:i/>
      <w:iCs/>
      <w:sz w:val="20"/>
      <w:szCs w:val="20"/>
    </w:rPr>
  </w:style>
  <w:style w:type="paragraph" w:styleId="TOC3">
    <w:name w:val="toc 3"/>
    <w:basedOn w:val="Normal"/>
    <w:next w:val="Normal"/>
    <w:autoRedefine/>
    <w:uiPriority w:val="39"/>
    <w:qFormat/>
    <w:rsid w:val="000A4BDB"/>
    <w:pPr>
      <w:spacing w:after="0"/>
      <w:ind w:left="440"/>
    </w:pPr>
    <w:rPr>
      <w:rFonts w:cs="Calibri"/>
      <w:sz w:val="20"/>
      <w:szCs w:val="20"/>
    </w:rPr>
  </w:style>
  <w:style w:type="paragraph" w:styleId="TOC4">
    <w:name w:val="toc 4"/>
    <w:basedOn w:val="Normal"/>
    <w:next w:val="Normal"/>
    <w:autoRedefine/>
    <w:uiPriority w:val="39"/>
    <w:rsid w:val="000A4BDB"/>
    <w:pPr>
      <w:spacing w:after="0"/>
      <w:ind w:left="660"/>
    </w:pPr>
    <w:rPr>
      <w:rFonts w:cs="Calibri"/>
      <w:sz w:val="20"/>
      <w:szCs w:val="20"/>
    </w:rPr>
  </w:style>
  <w:style w:type="paragraph" w:styleId="TOC5">
    <w:name w:val="toc 5"/>
    <w:basedOn w:val="Normal"/>
    <w:next w:val="Normal"/>
    <w:autoRedefine/>
    <w:uiPriority w:val="39"/>
    <w:rsid w:val="000A4BDB"/>
    <w:pPr>
      <w:spacing w:after="0"/>
      <w:ind w:left="880"/>
    </w:pPr>
    <w:rPr>
      <w:rFonts w:cs="Calibri"/>
      <w:sz w:val="20"/>
      <w:szCs w:val="20"/>
    </w:rPr>
  </w:style>
  <w:style w:type="paragraph" w:styleId="TOC6">
    <w:name w:val="toc 6"/>
    <w:basedOn w:val="Normal"/>
    <w:next w:val="Normal"/>
    <w:autoRedefine/>
    <w:uiPriority w:val="39"/>
    <w:rsid w:val="000A4BDB"/>
    <w:pPr>
      <w:spacing w:after="0"/>
      <w:ind w:left="1100"/>
    </w:pPr>
    <w:rPr>
      <w:rFonts w:cs="Calibri"/>
      <w:sz w:val="20"/>
      <w:szCs w:val="20"/>
    </w:rPr>
  </w:style>
  <w:style w:type="paragraph" w:styleId="TOC7">
    <w:name w:val="toc 7"/>
    <w:basedOn w:val="Normal"/>
    <w:next w:val="Normal"/>
    <w:autoRedefine/>
    <w:uiPriority w:val="39"/>
    <w:rsid w:val="000A4BDB"/>
    <w:pPr>
      <w:spacing w:after="0"/>
      <w:ind w:left="1320"/>
    </w:pPr>
    <w:rPr>
      <w:rFonts w:cs="Calibri"/>
      <w:sz w:val="20"/>
      <w:szCs w:val="20"/>
    </w:rPr>
  </w:style>
  <w:style w:type="paragraph" w:styleId="TOC8">
    <w:name w:val="toc 8"/>
    <w:basedOn w:val="Normal"/>
    <w:next w:val="Normal"/>
    <w:autoRedefine/>
    <w:uiPriority w:val="39"/>
    <w:rsid w:val="000A4BDB"/>
    <w:pPr>
      <w:spacing w:after="0"/>
      <w:ind w:left="1540"/>
    </w:pPr>
    <w:rPr>
      <w:rFonts w:cs="Calibri"/>
      <w:sz w:val="20"/>
      <w:szCs w:val="20"/>
    </w:rPr>
  </w:style>
  <w:style w:type="paragraph" w:styleId="TOC9">
    <w:name w:val="toc 9"/>
    <w:basedOn w:val="Normal"/>
    <w:next w:val="Normal"/>
    <w:autoRedefine/>
    <w:uiPriority w:val="39"/>
    <w:rsid w:val="000A4BDB"/>
    <w:pPr>
      <w:spacing w:after="0"/>
      <w:ind w:left="1760"/>
    </w:pPr>
    <w:rPr>
      <w:rFonts w:cs="Calibri"/>
      <w:sz w:val="20"/>
      <w:szCs w:val="20"/>
    </w:rPr>
  </w:style>
  <w:style w:type="paragraph" w:styleId="BodyText">
    <w:name w:val="Body Text"/>
    <w:basedOn w:val="Normal"/>
    <w:link w:val="BodyTextChar"/>
    <w:rsid w:val="00793F77"/>
    <w:pPr>
      <w:spacing w:before="60" w:after="0" w:line="240" w:lineRule="auto"/>
      <w:jc w:val="both"/>
    </w:pPr>
    <w:rPr>
      <w:rFonts w:ascii="Arial" w:hAnsi="Arial"/>
      <w:sz w:val="24"/>
      <w:szCs w:val="20"/>
      <w:lang w:bidi="ar-SA"/>
    </w:rPr>
  </w:style>
  <w:style w:type="character" w:customStyle="1" w:styleId="BodyTextChar">
    <w:name w:val="Body Text Char"/>
    <w:link w:val="BodyText"/>
    <w:rsid w:val="00793F77"/>
    <w:rPr>
      <w:rFonts w:ascii="Arial" w:hAnsi="Arial"/>
      <w:sz w:val="24"/>
    </w:rPr>
  </w:style>
  <w:style w:type="paragraph" w:customStyle="1" w:styleId="Instructions">
    <w:name w:val="Instructions"/>
    <w:basedOn w:val="Normal"/>
    <w:rsid w:val="00793F77"/>
    <w:pPr>
      <w:numPr>
        <w:numId w:val="19"/>
      </w:numPr>
      <w:spacing w:before="60" w:after="0" w:line="240" w:lineRule="auto"/>
    </w:pPr>
    <w:rPr>
      <w:rFonts w:ascii="Arial" w:hAnsi="Arial"/>
      <w:sz w:val="20"/>
      <w:szCs w:val="20"/>
      <w:lang w:bidi="ar-SA"/>
    </w:rPr>
  </w:style>
  <w:style w:type="paragraph" w:styleId="HTMLPreformatted">
    <w:name w:val="HTML Preformatted"/>
    <w:basedOn w:val="Normal"/>
    <w:link w:val="HTMLPreformattedChar"/>
    <w:uiPriority w:val="99"/>
    <w:unhideWhenUsed/>
    <w:rsid w:val="00A5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link w:val="HTMLPreformatted"/>
    <w:uiPriority w:val="99"/>
    <w:rsid w:val="00A52C28"/>
    <w:rPr>
      <w:rFonts w:ascii="Courier New" w:hAnsi="Courier New" w:cs="Courier New"/>
    </w:rPr>
  </w:style>
  <w:style w:type="character" w:customStyle="1" w:styleId="apple-converted-space">
    <w:name w:val="apple-converted-space"/>
    <w:basedOn w:val="DefaultParagraphFont"/>
    <w:rsid w:val="00DC49F2"/>
  </w:style>
  <w:style w:type="character" w:styleId="UnresolvedMention">
    <w:name w:val="Unresolved Mention"/>
    <w:uiPriority w:val="99"/>
    <w:semiHidden/>
    <w:unhideWhenUsed/>
    <w:rsid w:val="008D1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56360">
      <w:bodyDiv w:val="1"/>
      <w:marLeft w:val="121"/>
      <w:marRight w:val="121"/>
      <w:marTop w:val="0"/>
      <w:marBottom w:val="121"/>
      <w:divBdr>
        <w:top w:val="none" w:sz="0" w:space="0" w:color="auto"/>
        <w:left w:val="none" w:sz="0" w:space="0" w:color="auto"/>
        <w:bottom w:val="none" w:sz="0" w:space="0" w:color="auto"/>
        <w:right w:val="none" w:sz="0" w:space="0" w:color="auto"/>
      </w:divBdr>
      <w:divsChild>
        <w:div w:id="1669212566">
          <w:marLeft w:val="0"/>
          <w:marRight w:val="0"/>
          <w:marTop w:val="0"/>
          <w:marBottom w:val="0"/>
          <w:divBdr>
            <w:top w:val="none" w:sz="0" w:space="0" w:color="auto"/>
            <w:left w:val="none" w:sz="0" w:space="0" w:color="auto"/>
            <w:bottom w:val="none" w:sz="0" w:space="0" w:color="auto"/>
            <w:right w:val="none" w:sz="0" w:space="0" w:color="auto"/>
          </w:divBdr>
          <w:divsChild>
            <w:div w:id="896280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20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D6D4-4C88-4C2E-B42C-CBC33BF2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14</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NSD Research</vt:lpstr>
    </vt:vector>
  </TitlesOfParts>
  <Company>Peak Consulting</Company>
  <LinksUpToDate>false</LinksUpToDate>
  <CharactersWithSpaces>15057</CharactersWithSpaces>
  <SharedDoc>false</SharedDoc>
  <HLinks>
    <vt:vector size="6" baseType="variant">
      <vt:variant>
        <vt:i4>4128826</vt:i4>
      </vt:variant>
      <vt:variant>
        <vt:i4>0</vt:i4>
      </vt:variant>
      <vt:variant>
        <vt:i4>0</vt:i4>
      </vt:variant>
      <vt:variant>
        <vt:i4>5</vt:i4>
      </vt:variant>
      <vt:variant>
        <vt:lpwstr>http://nsd.aaaeonline.org/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 Research</dc:title>
  <dc:subject/>
  <dc:creator>Michael Spiess</dc:creator>
  <cp:keywords/>
  <cp:lastModifiedBy>Mike Spiess</cp:lastModifiedBy>
  <cp:revision>5</cp:revision>
  <cp:lastPrinted>2013-01-03T19:20:00Z</cp:lastPrinted>
  <dcterms:created xsi:type="dcterms:W3CDTF">2025-11-10T16:03:00Z</dcterms:created>
  <dcterms:modified xsi:type="dcterms:W3CDTF">2025-11-10T17:11:00Z</dcterms:modified>
</cp:coreProperties>
</file>